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480" w:rsidRDefault="001A5F7E">
      <w:r w:rsidRPr="001A5F7E">
        <w:rPr>
          <w:noProof/>
          <w:lang w:val="en-US" w:eastAsia="en-US"/>
        </w:rPr>
        <w:pict>
          <v:shapetype id="_x0000_t202" coordsize="21600,21600" o:spt="202" path="m,l,21600r21600,l21600,xe">
            <v:stroke joinstyle="miter"/>
            <v:path gradientshapeok="t" o:connecttype="rect"/>
          </v:shapetype>
          <v:shape id="_x0000_s1027" type="#_x0000_t202" style="position:absolute;margin-left:229.95pt;margin-top:4.15pt;width:265.5pt;height:36.4pt;z-index:251653120" fillcolor="#c0504d" strokecolor="#f2f2f2" strokeweight="3pt">
            <v:shadow on="t" type="perspective" color="#622423" opacity=".5" offset="1pt" offset2="-1pt"/>
            <v:textbox style="mso-next-textbox:#_x0000_s1027">
              <w:txbxContent>
                <w:p w:rsidR="000C0BC7" w:rsidRPr="00F326DE" w:rsidRDefault="000C0BC7" w:rsidP="00C213D8">
                  <w:pPr>
                    <w:shd w:val="clear" w:color="auto" w:fill="C00000"/>
                    <w:jc w:val="center"/>
                    <w:rPr>
                      <w:rFonts w:cs="Arial"/>
                      <w:sz w:val="40"/>
                      <w:szCs w:val="40"/>
                    </w:rPr>
                  </w:pPr>
                  <w:r w:rsidRPr="00F326DE">
                    <w:rPr>
                      <w:rFonts w:cs="Arial"/>
                      <w:sz w:val="40"/>
                      <w:szCs w:val="40"/>
                    </w:rPr>
                    <w:t>MANUAL DEL PARTICIPANTE</w:t>
                  </w:r>
                </w:p>
                <w:p w:rsidR="000C0BC7" w:rsidRPr="00F326DE" w:rsidRDefault="000C0BC7">
                  <w:pPr>
                    <w:rPr>
                      <w:sz w:val="40"/>
                      <w:szCs w:val="40"/>
                      <w:lang w:val="en-US"/>
                    </w:rPr>
                  </w:pPr>
                </w:p>
              </w:txbxContent>
            </v:textbox>
          </v:shape>
        </w:pict>
      </w:r>
    </w:p>
    <w:p w:rsidR="00AE6480" w:rsidRDefault="00AE6480"/>
    <w:tbl>
      <w:tblPr>
        <w:tblpPr w:leftFromText="187" w:rightFromText="187" w:vertAnchor="page" w:horzAnchor="margin" w:tblpXSpec="right" w:tblpY="2566"/>
        <w:tblW w:w="3198"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6131"/>
      </w:tblGrid>
      <w:tr w:rsidR="000E3439" w:rsidRPr="0050516B" w:rsidTr="000E3439">
        <w:tc>
          <w:tcPr>
            <w:tcW w:w="0" w:type="auto"/>
          </w:tcPr>
          <w:p w:rsidR="000E3439" w:rsidRPr="0070698C" w:rsidRDefault="000E3439" w:rsidP="0070698C">
            <w:pPr>
              <w:pStyle w:val="Sinespaciado"/>
              <w:jc w:val="center"/>
              <w:rPr>
                <w:rFonts w:ascii="Cambria" w:hAnsi="Cambria"/>
                <w:sz w:val="64"/>
                <w:szCs w:val="64"/>
                <w:lang w:val="es-MX"/>
              </w:rPr>
            </w:pPr>
            <w:r w:rsidRPr="0070698C">
              <w:rPr>
                <w:rFonts w:ascii="Cambria" w:hAnsi="Cambria"/>
                <w:sz w:val="64"/>
                <w:szCs w:val="64"/>
                <w:lang w:val="es-MX"/>
              </w:rPr>
              <w:t>CONTABILIDAD</w:t>
            </w:r>
          </w:p>
          <w:p w:rsidR="000E3439" w:rsidRPr="0070698C" w:rsidRDefault="000E3439" w:rsidP="0070698C">
            <w:pPr>
              <w:pStyle w:val="Sinespaciado"/>
              <w:jc w:val="center"/>
              <w:rPr>
                <w:rFonts w:ascii="Cambria" w:hAnsi="Cambria"/>
                <w:sz w:val="64"/>
                <w:szCs w:val="64"/>
                <w:lang w:val="es-MX"/>
              </w:rPr>
            </w:pPr>
            <w:r w:rsidRPr="0070698C">
              <w:rPr>
                <w:rFonts w:ascii="Cambria" w:hAnsi="Cambria"/>
                <w:sz w:val="64"/>
                <w:szCs w:val="64"/>
                <w:lang w:val="es-MX"/>
              </w:rPr>
              <w:t>GUBERNAMENTAL</w:t>
            </w:r>
          </w:p>
          <w:p w:rsidR="000E3439" w:rsidRDefault="000E3439" w:rsidP="0070698C">
            <w:pPr>
              <w:pStyle w:val="Sinespaciado"/>
              <w:jc w:val="center"/>
              <w:rPr>
                <w:rFonts w:ascii="Cambria" w:hAnsi="Cambria"/>
                <w:sz w:val="64"/>
                <w:szCs w:val="64"/>
                <w:lang w:val="es-MX"/>
              </w:rPr>
            </w:pPr>
            <w:r w:rsidRPr="0070698C">
              <w:rPr>
                <w:rFonts w:ascii="Cambria" w:hAnsi="Cambria"/>
                <w:sz w:val="64"/>
                <w:szCs w:val="64"/>
                <w:lang w:val="es-MX"/>
              </w:rPr>
              <w:t>EN LA ARMONIZACION CONTABLE</w:t>
            </w:r>
          </w:p>
          <w:p w:rsidR="0070698C" w:rsidRPr="0070698C" w:rsidRDefault="0070698C" w:rsidP="0070698C">
            <w:pPr>
              <w:pStyle w:val="Sinespaciado"/>
              <w:jc w:val="center"/>
              <w:rPr>
                <w:rFonts w:ascii="Cambria" w:hAnsi="Cambria"/>
                <w:sz w:val="64"/>
                <w:szCs w:val="64"/>
                <w:lang w:val="es-MX"/>
              </w:rPr>
            </w:pPr>
          </w:p>
          <w:p w:rsidR="000E3439" w:rsidRDefault="0070698C" w:rsidP="000E3439">
            <w:pPr>
              <w:pStyle w:val="Sinespaciado"/>
              <w:rPr>
                <w:rFonts w:ascii="Cambria" w:hAnsi="Cambria"/>
                <w:sz w:val="52"/>
                <w:szCs w:val="52"/>
                <w:lang w:val="es-MX"/>
              </w:rPr>
            </w:pPr>
            <w:r>
              <w:rPr>
                <w:rFonts w:ascii="Cambria" w:hAnsi="Cambria"/>
                <w:sz w:val="52"/>
                <w:szCs w:val="52"/>
                <w:lang w:val="es-MX"/>
              </w:rPr>
              <w:t>Registro: DEC/93/2012</w:t>
            </w:r>
          </w:p>
          <w:p w:rsidR="0070698C" w:rsidRPr="0070698C" w:rsidRDefault="0070698C" w:rsidP="000E3439">
            <w:pPr>
              <w:pStyle w:val="Sinespaciado"/>
              <w:rPr>
                <w:rFonts w:ascii="Cambria" w:hAnsi="Cambria"/>
                <w:sz w:val="52"/>
                <w:szCs w:val="52"/>
                <w:lang w:val="es-MX"/>
              </w:rPr>
            </w:pPr>
          </w:p>
          <w:p w:rsidR="000E3439" w:rsidRPr="00204BB1" w:rsidRDefault="000E3439" w:rsidP="000E3439">
            <w:pPr>
              <w:spacing w:line="360" w:lineRule="auto"/>
              <w:jc w:val="center"/>
              <w:rPr>
                <w:rFonts w:asciiTheme="majorHAnsi" w:hAnsiTheme="majorHAnsi"/>
                <w:b/>
                <w:sz w:val="28"/>
                <w:szCs w:val="28"/>
                <w:lang w:val="es-ES_tradnl"/>
              </w:rPr>
            </w:pPr>
            <w:r w:rsidRPr="00204BB1">
              <w:rPr>
                <w:rFonts w:asciiTheme="majorHAnsi" w:hAnsiTheme="majorHAnsi" w:cs="Arial"/>
                <w:b/>
                <w:sz w:val="44"/>
              </w:rPr>
              <w:t>Instructor:</w:t>
            </w:r>
            <w:r w:rsidRPr="00204BB1">
              <w:rPr>
                <w:rFonts w:asciiTheme="majorHAnsi" w:hAnsiTheme="majorHAnsi"/>
                <w:b/>
                <w:sz w:val="28"/>
                <w:szCs w:val="28"/>
                <w:lang w:val="es-ES_tradnl"/>
              </w:rPr>
              <w:t xml:space="preserve"> </w:t>
            </w:r>
          </w:p>
          <w:p w:rsidR="000E3439" w:rsidRDefault="001A011A" w:rsidP="004C4E6E">
            <w:pPr>
              <w:pStyle w:val="Sinespaciado"/>
              <w:jc w:val="center"/>
              <w:rPr>
                <w:rFonts w:asciiTheme="majorHAnsi" w:hAnsiTheme="majorHAnsi" w:cs="Arial"/>
                <w:b/>
                <w:sz w:val="44"/>
                <w:szCs w:val="44"/>
                <w:lang w:val="es-ES_tradnl"/>
              </w:rPr>
            </w:pPr>
            <w:r>
              <w:rPr>
                <w:rFonts w:asciiTheme="majorHAnsi" w:hAnsiTheme="majorHAnsi" w:cs="Arial"/>
                <w:b/>
                <w:sz w:val="44"/>
                <w:szCs w:val="44"/>
                <w:lang w:val="es-ES_tradnl"/>
              </w:rPr>
              <w:t xml:space="preserve">Dra. Martha </w:t>
            </w:r>
            <w:proofErr w:type="spellStart"/>
            <w:r>
              <w:rPr>
                <w:rFonts w:asciiTheme="majorHAnsi" w:hAnsiTheme="majorHAnsi" w:cs="Arial"/>
                <w:b/>
                <w:sz w:val="44"/>
                <w:szCs w:val="44"/>
                <w:lang w:val="es-ES_tradnl"/>
              </w:rPr>
              <w:t>Gisella</w:t>
            </w:r>
            <w:proofErr w:type="spellEnd"/>
            <w:r>
              <w:rPr>
                <w:rFonts w:asciiTheme="majorHAnsi" w:hAnsiTheme="majorHAnsi" w:cs="Arial"/>
                <w:b/>
                <w:sz w:val="44"/>
                <w:szCs w:val="44"/>
                <w:lang w:val="es-ES_tradnl"/>
              </w:rPr>
              <w:t xml:space="preserve"> Bañuelos Pérez </w:t>
            </w:r>
          </w:p>
          <w:p w:rsidR="000E3439" w:rsidRPr="00CC7A7B" w:rsidRDefault="000E3439" w:rsidP="000E3439">
            <w:pPr>
              <w:pStyle w:val="Sinespaciado"/>
              <w:rPr>
                <w:rFonts w:ascii="Cambria" w:hAnsi="Cambria"/>
                <w:sz w:val="40"/>
                <w:szCs w:val="40"/>
                <w:lang w:val="es-MX"/>
              </w:rPr>
            </w:pPr>
          </w:p>
        </w:tc>
      </w:tr>
      <w:tr w:rsidR="000E3439" w:rsidRPr="0050516B" w:rsidTr="000E3439">
        <w:tc>
          <w:tcPr>
            <w:tcW w:w="0" w:type="auto"/>
          </w:tcPr>
          <w:p w:rsidR="000E3439" w:rsidRPr="0050516B" w:rsidRDefault="000E3439" w:rsidP="000E3439">
            <w:pPr>
              <w:pStyle w:val="Sinespaciado"/>
              <w:jc w:val="both"/>
              <w:rPr>
                <w:sz w:val="40"/>
                <w:szCs w:val="40"/>
                <w:lang w:val="es-MX"/>
              </w:rPr>
            </w:pPr>
            <w:r>
              <w:rPr>
                <w:sz w:val="40"/>
                <w:szCs w:val="40"/>
                <w:lang w:val="es-MX"/>
              </w:rPr>
              <w:t>IPN – UNIDAD DE EDUCACIÓN CONTINUA DE MAZATLÁN</w:t>
            </w:r>
          </w:p>
        </w:tc>
      </w:tr>
      <w:tr w:rsidR="000E3439" w:rsidRPr="0050516B" w:rsidTr="000E3439">
        <w:tc>
          <w:tcPr>
            <w:tcW w:w="0" w:type="auto"/>
          </w:tcPr>
          <w:p w:rsidR="000E3439" w:rsidRPr="000E3439" w:rsidRDefault="000E3439" w:rsidP="000E3439">
            <w:pPr>
              <w:pStyle w:val="Sinespaciado"/>
              <w:rPr>
                <w:b/>
                <w:sz w:val="28"/>
                <w:szCs w:val="28"/>
                <w:lang w:val="es-MX"/>
              </w:rPr>
            </w:pPr>
            <w:r w:rsidRPr="000E3439">
              <w:rPr>
                <w:b/>
                <w:sz w:val="28"/>
                <w:szCs w:val="28"/>
                <w:lang w:val="es-MX"/>
              </w:rPr>
              <w:t>Julio 2012</w:t>
            </w:r>
          </w:p>
        </w:tc>
      </w:tr>
    </w:tbl>
    <w:p w:rsidR="00AE6480" w:rsidRDefault="000E3439">
      <w:r>
        <w:t xml:space="preserve"> </w:t>
      </w:r>
      <w:r w:rsidR="00AE6480">
        <w:br w:type="page"/>
      </w:r>
    </w:p>
    <w:p w:rsidR="002C2A85" w:rsidRDefault="002C2A85" w:rsidP="00763BAE">
      <w:pPr>
        <w:pStyle w:val="TtulodeTDC"/>
        <w:jc w:val="center"/>
        <w:rPr>
          <w:color w:val="auto"/>
          <w:sz w:val="32"/>
          <w:szCs w:val="32"/>
        </w:rPr>
      </w:pPr>
      <w:bookmarkStart w:id="0" w:name="_Toc235934835"/>
    </w:p>
    <w:p w:rsidR="00AE6480" w:rsidRDefault="00AE6480" w:rsidP="00763BAE">
      <w:pPr>
        <w:pStyle w:val="TtulodeTDC"/>
        <w:jc w:val="center"/>
        <w:rPr>
          <w:color w:val="auto"/>
          <w:sz w:val="32"/>
          <w:szCs w:val="32"/>
        </w:rPr>
      </w:pPr>
      <w:r w:rsidRPr="005429AE">
        <w:rPr>
          <w:color w:val="auto"/>
          <w:sz w:val="32"/>
          <w:szCs w:val="32"/>
        </w:rPr>
        <w:t>Contenido</w:t>
      </w:r>
    </w:p>
    <w:p w:rsidR="002754E6" w:rsidRDefault="002754E6" w:rsidP="002754E6"/>
    <w:p w:rsidR="002754E6" w:rsidRDefault="002754E6" w:rsidP="002754E6"/>
    <w:p w:rsidR="002C2A85" w:rsidRDefault="002C2A85" w:rsidP="002754E6"/>
    <w:p w:rsidR="002754E6" w:rsidRPr="00BB4E44" w:rsidRDefault="00BB4E44" w:rsidP="002754E6">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 xml:space="preserve">I       </w:t>
      </w:r>
      <w:r w:rsidR="002754E6" w:rsidRPr="00BB4E44">
        <w:rPr>
          <w:rFonts w:ascii="Arial" w:hAnsi="Arial" w:cs="Arial"/>
          <w:b/>
          <w:color w:val="943634" w:themeColor="accent2" w:themeShade="BF"/>
          <w:sz w:val="28"/>
          <w:szCs w:val="28"/>
        </w:rPr>
        <w:t>ASPECTOS GENERALES DEL CURSO</w:t>
      </w:r>
      <w:r>
        <w:rPr>
          <w:rFonts w:ascii="Arial" w:hAnsi="Arial" w:cs="Arial"/>
          <w:b/>
          <w:color w:val="943634" w:themeColor="accent2" w:themeShade="BF"/>
          <w:sz w:val="28"/>
          <w:szCs w:val="28"/>
        </w:rPr>
        <w:t>……………………</w:t>
      </w:r>
      <w:r w:rsidR="00AC563B">
        <w:rPr>
          <w:rFonts w:ascii="Arial" w:hAnsi="Arial" w:cs="Arial"/>
          <w:b/>
          <w:color w:val="943634" w:themeColor="accent2" w:themeShade="BF"/>
          <w:sz w:val="28"/>
          <w:szCs w:val="28"/>
        </w:rPr>
        <w:t>.....    4</w:t>
      </w:r>
    </w:p>
    <w:p w:rsidR="00BB4E44" w:rsidRPr="00BB4E44" w:rsidRDefault="00BB4E44" w:rsidP="002754E6">
      <w:pPr>
        <w:rPr>
          <w:rFonts w:ascii="Arial" w:hAnsi="Arial" w:cs="Arial"/>
          <w:b/>
          <w:color w:val="943634" w:themeColor="accent2" w:themeShade="BF"/>
          <w:sz w:val="28"/>
          <w:szCs w:val="28"/>
        </w:rPr>
      </w:pPr>
    </w:p>
    <w:p w:rsidR="00BB4E44" w:rsidRPr="00BB4E44" w:rsidRDefault="00BB4E44" w:rsidP="002754E6">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II      OBJETIVO GENERAL</w:t>
      </w:r>
      <w:r w:rsidR="00AC563B">
        <w:rPr>
          <w:rFonts w:ascii="Arial" w:hAnsi="Arial" w:cs="Arial"/>
          <w:b/>
          <w:color w:val="943634" w:themeColor="accent2" w:themeShade="BF"/>
          <w:sz w:val="28"/>
          <w:szCs w:val="28"/>
        </w:rPr>
        <w:t>………………………………………….…    5</w:t>
      </w:r>
    </w:p>
    <w:p w:rsidR="00BB4E44" w:rsidRPr="00BB4E44" w:rsidRDefault="00BB4E44" w:rsidP="002754E6">
      <w:pPr>
        <w:rPr>
          <w:rFonts w:ascii="Arial" w:hAnsi="Arial" w:cs="Arial"/>
          <w:b/>
          <w:color w:val="943634" w:themeColor="accent2" w:themeShade="BF"/>
          <w:sz w:val="28"/>
          <w:szCs w:val="28"/>
        </w:rPr>
      </w:pPr>
    </w:p>
    <w:p w:rsidR="00BB4E44" w:rsidRPr="00BB4E44" w:rsidRDefault="004C7CEF" w:rsidP="002754E6">
      <w:pPr>
        <w:rPr>
          <w:rFonts w:ascii="Arial" w:hAnsi="Arial" w:cs="Arial"/>
          <w:b/>
          <w:color w:val="943634" w:themeColor="accent2" w:themeShade="BF"/>
          <w:sz w:val="28"/>
          <w:szCs w:val="28"/>
        </w:rPr>
      </w:pPr>
      <w:r>
        <w:rPr>
          <w:rFonts w:ascii="Arial" w:hAnsi="Arial" w:cs="Arial"/>
          <w:b/>
          <w:color w:val="943634" w:themeColor="accent2" w:themeShade="BF"/>
          <w:sz w:val="28"/>
          <w:szCs w:val="28"/>
        </w:rPr>
        <w:t>III     OBJETIVOS ESPECÍ</w:t>
      </w:r>
      <w:r w:rsidR="00BB4E44" w:rsidRPr="00BB4E44">
        <w:rPr>
          <w:rFonts w:ascii="Arial" w:hAnsi="Arial" w:cs="Arial"/>
          <w:b/>
          <w:color w:val="943634" w:themeColor="accent2" w:themeShade="BF"/>
          <w:sz w:val="28"/>
          <w:szCs w:val="28"/>
        </w:rPr>
        <w:t>FICOS</w:t>
      </w:r>
      <w:r w:rsidR="00AC563B">
        <w:rPr>
          <w:rFonts w:ascii="Arial" w:hAnsi="Arial" w:cs="Arial"/>
          <w:b/>
          <w:color w:val="943634" w:themeColor="accent2" w:themeShade="BF"/>
          <w:sz w:val="28"/>
          <w:szCs w:val="28"/>
        </w:rPr>
        <w:t>……………………………………..     5</w:t>
      </w:r>
    </w:p>
    <w:p w:rsidR="00BB4E44" w:rsidRPr="00BB4E44" w:rsidRDefault="00BB4E44" w:rsidP="002754E6">
      <w:pPr>
        <w:rPr>
          <w:rFonts w:ascii="Arial" w:hAnsi="Arial" w:cs="Arial"/>
          <w:b/>
          <w:color w:val="943634" w:themeColor="accent2" w:themeShade="BF"/>
          <w:sz w:val="28"/>
          <w:szCs w:val="28"/>
        </w:rPr>
      </w:pPr>
    </w:p>
    <w:p w:rsidR="00BB4E44" w:rsidRPr="00BB4E44" w:rsidRDefault="004C7CEF" w:rsidP="002754E6">
      <w:pPr>
        <w:rPr>
          <w:rFonts w:ascii="Arial" w:hAnsi="Arial" w:cs="Arial"/>
          <w:b/>
          <w:color w:val="943634" w:themeColor="accent2" w:themeShade="BF"/>
          <w:sz w:val="28"/>
          <w:szCs w:val="28"/>
        </w:rPr>
      </w:pPr>
      <w:r>
        <w:rPr>
          <w:rFonts w:ascii="Arial" w:hAnsi="Arial" w:cs="Arial"/>
          <w:b/>
          <w:color w:val="943634" w:themeColor="accent2" w:themeShade="BF"/>
          <w:sz w:val="28"/>
          <w:szCs w:val="28"/>
        </w:rPr>
        <w:t>IV    INTRODUCCIÓ</w:t>
      </w:r>
      <w:r w:rsidR="00BB4E44" w:rsidRPr="00BB4E44">
        <w:rPr>
          <w:rFonts w:ascii="Arial" w:hAnsi="Arial" w:cs="Arial"/>
          <w:b/>
          <w:color w:val="943634" w:themeColor="accent2" w:themeShade="BF"/>
          <w:sz w:val="28"/>
          <w:szCs w:val="28"/>
        </w:rPr>
        <w:t>N</w:t>
      </w:r>
      <w:r w:rsidR="00AC563B">
        <w:rPr>
          <w:rFonts w:ascii="Arial" w:hAnsi="Arial" w:cs="Arial"/>
          <w:b/>
          <w:color w:val="943634" w:themeColor="accent2" w:themeShade="BF"/>
          <w:sz w:val="28"/>
          <w:szCs w:val="28"/>
        </w:rPr>
        <w:t>…………………………………………………...    6</w:t>
      </w:r>
    </w:p>
    <w:p w:rsidR="00BB4E44" w:rsidRPr="00BB4E44" w:rsidRDefault="00BB4E44" w:rsidP="002754E6">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 xml:space="preserve"> </w:t>
      </w:r>
    </w:p>
    <w:p w:rsidR="00BB4E44" w:rsidRPr="00BB4E44" w:rsidRDefault="00BB4E44" w:rsidP="002754E6">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V     TEMAS Y SUBTEMAS</w:t>
      </w:r>
    </w:p>
    <w:p w:rsidR="002754E6" w:rsidRPr="00BB4E44" w:rsidRDefault="002754E6" w:rsidP="002754E6">
      <w:pPr>
        <w:rPr>
          <w:rFonts w:ascii="Arial" w:hAnsi="Arial" w:cs="Arial"/>
          <w:b/>
          <w:sz w:val="28"/>
          <w:szCs w:val="28"/>
        </w:rPr>
      </w:pPr>
    </w:p>
    <w:p w:rsidR="005429AE" w:rsidRPr="002754E6" w:rsidRDefault="00AE6480"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1.</w:t>
      </w:r>
      <w:r w:rsidRPr="002754E6">
        <w:rPr>
          <w:rFonts w:ascii="Arial" w:hAnsi="Arial" w:cs="Arial"/>
          <w:color w:val="auto"/>
          <w:sz w:val="24"/>
          <w:szCs w:val="24"/>
          <w:lang w:val="es-MX"/>
        </w:rPr>
        <w:tab/>
      </w:r>
      <w:r w:rsidR="005429AE" w:rsidRPr="002754E6">
        <w:rPr>
          <w:rFonts w:ascii="Arial" w:hAnsi="Arial" w:cs="Arial"/>
          <w:color w:val="auto"/>
          <w:sz w:val="24"/>
          <w:szCs w:val="24"/>
          <w:lang w:val="es-MX"/>
        </w:rPr>
        <w:t xml:space="preserve"> FUNDAMENTOS Y BASES P</w:t>
      </w:r>
      <w:r w:rsidR="004C7CEF">
        <w:rPr>
          <w:rFonts w:ascii="Arial" w:hAnsi="Arial" w:cs="Arial"/>
          <w:color w:val="auto"/>
          <w:sz w:val="24"/>
          <w:szCs w:val="24"/>
          <w:lang w:val="es-MX"/>
        </w:rPr>
        <w:t>ARA LA ARMONIZACIÓ</w:t>
      </w:r>
      <w:r w:rsidR="00904736" w:rsidRPr="002754E6">
        <w:rPr>
          <w:rFonts w:ascii="Arial" w:hAnsi="Arial" w:cs="Arial"/>
          <w:color w:val="auto"/>
          <w:sz w:val="24"/>
          <w:szCs w:val="24"/>
          <w:lang w:val="es-MX"/>
        </w:rPr>
        <w:t xml:space="preserve">N CONTABLE  </w:t>
      </w:r>
    </w:p>
    <w:p w:rsidR="00904736" w:rsidRPr="002754E6" w:rsidRDefault="00904736" w:rsidP="00904736">
      <w:pPr>
        <w:rPr>
          <w:rFonts w:ascii="Arial" w:hAnsi="Arial" w:cs="Arial"/>
          <w:lang w:val="es-MX"/>
        </w:rPr>
      </w:pPr>
    </w:p>
    <w:p w:rsidR="00AE6480" w:rsidRPr="002C2A85" w:rsidRDefault="00AE6480" w:rsidP="0047612E">
      <w:pPr>
        <w:pStyle w:val="TtulodeTDC"/>
        <w:rPr>
          <w:rFonts w:ascii="Arial" w:hAnsi="Arial" w:cs="Arial"/>
          <w:color w:val="auto"/>
          <w:szCs w:val="28"/>
          <w:lang w:val="es-MX"/>
        </w:rPr>
      </w:pPr>
      <w:r w:rsidRPr="002754E6">
        <w:rPr>
          <w:rFonts w:ascii="Arial" w:hAnsi="Arial" w:cs="Arial"/>
          <w:color w:val="auto"/>
          <w:sz w:val="24"/>
          <w:szCs w:val="24"/>
          <w:lang w:val="es-MX"/>
        </w:rPr>
        <w:t>1.1</w:t>
      </w:r>
      <w:r w:rsidRPr="002754E6">
        <w:rPr>
          <w:rFonts w:ascii="Arial" w:hAnsi="Arial" w:cs="Arial"/>
          <w:color w:val="auto"/>
          <w:sz w:val="24"/>
          <w:szCs w:val="24"/>
          <w:lang w:val="es-MX"/>
        </w:rPr>
        <w:tab/>
      </w:r>
      <w:r w:rsidR="005429AE" w:rsidRPr="002754E6">
        <w:rPr>
          <w:rFonts w:ascii="Arial" w:hAnsi="Arial" w:cs="Arial"/>
          <w:color w:val="auto"/>
          <w:sz w:val="24"/>
          <w:szCs w:val="24"/>
          <w:lang w:val="es-MX"/>
        </w:rPr>
        <w:t>Reforma Constitucional y Ley General de Contabilidad Gubernamental</w:t>
      </w:r>
      <w:r w:rsidR="00BB4E44" w:rsidRPr="002C2A85">
        <w:rPr>
          <w:rFonts w:ascii="Arial" w:hAnsi="Arial" w:cs="Arial"/>
          <w:color w:val="auto"/>
          <w:sz w:val="24"/>
          <w:szCs w:val="24"/>
          <w:lang w:val="es-MX"/>
        </w:rPr>
        <w:t>…</w:t>
      </w:r>
      <w:r w:rsidR="00AC563B" w:rsidRPr="002C2A85">
        <w:rPr>
          <w:rFonts w:ascii="Arial" w:hAnsi="Arial" w:cs="Arial"/>
          <w:color w:val="auto"/>
          <w:sz w:val="24"/>
          <w:szCs w:val="24"/>
          <w:lang w:val="es-MX"/>
        </w:rPr>
        <w:t>..</w:t>
      </w:r>
      <w:r w:rsidR="00BB4E44" w:rsidRPr="002C2A85">
        <w:rPr>
          <w:rFonts w:ascii="Arial" w:hAnsi="Arial" w:cs="Arial"/>
          <w:color w:val="auto"/>
          <w:sz w:val="24"/>
          <w:szCs w:val="24"/>
          <w:lang w:val="es-MX"/>
        </w:rPr>
        <w:t>.</w:t>
      </w:r>
      <w:r w:rsidR="00BB4E44" w:rsidRPr="002C2A85">
        <w:rPr>
          <w:rFonts w:ascii="Arial" w:hAnsi="Arial" w:cs="Arial"/>
          <w:color w:val="auto"/>
          <w:szCs w:val="28"/>
          <w:lang w:val="es-MX"/>
        </w:rPr>
        <w:t xml:space="preserve"> </w:t>
      </w:r>
      <w:r w:rsidR="00AC563B" w:rsidRPr="002C2A85">
        <w:rPr>
          <w:rFonts w:ascii="Arial" w:hAnsi="Arial" w:cs="Arial"/>
          <w:color w:val="auto"/>
          <w:szCs w:val="28"/>
          <w:lang w:val="es-MX"/>
        </w:rPr>
        <w:t xml:space="preserve">  </w:t>
      </w:r>
      <w:r w:rsidR="00AC563B" w:rsidRPr="002C2A85">
        <w:rPr>
          <w:rFonts w:ascii="Arial" w:hAnsi="Arial" w:cs="Arial"/>
          <w:color w:val="auto"/>
          <w:sz w:val="24"/>
          <w:szCs w:val="24"/>
          <w:lang w:val="es-MX"/>
        </w:rPr>
        <w:t>7</w:t>
      </w:r>
    </w:p>
    <w:p w:rsidR="005429AE" w:rsidRPr="002C2A85" w:rsidRDefault="00AE6480" w:rsidP="0047612E">
      <w:pPr>
        <w:pStyle w:val="TtulodeTDC"/>
        <w:rPr>
          <w:rFonts w:ascii="Arial" w:hAnsi="Arial" w:cs="Arial"/>
          <w:color w:val="auto"/>
          <w:sz w:val="24"/>
          <w:szCs w:val="24"/>
          <w:lang w:val="es-MX"/>
        </w:rPr>
      </w:pPr>
      <w:r w:rsidRPr="002C2A85">
        <w:rPr>
          <w:rFonts w:ascii="Arial" w:hAnsi="Arial" w:cs="Arial"/>
          <w:color w:val="auto"/>
          <w:sz w:val="24"/>
          <w:szCs w:val="24"/>
          <w:lang w:val="es-MX"/>
        </w:rPr>
        <w:t>1.2</w:t>
      </w:r>
      <w:r w:rsidRPr="002C2A85">
        <w:rPr>
          <w:rFonts w:ascii="Arial" w:hAnsi="Arial" w:cs="Arial"/>
          <w:color w:val="auto"/>
          <w:sz w:val="24"/>
          <w:szCs w:val="24"/>
          <w:lang w:val="es-MX"/>
        </w:rPr>
        <w:tab/>
      </w:r>
      <w:r w:rsidR="005429AE" w:rsidRPr="002C2A85">
        <w:rPr>
          <w:rFonts w:ascii="Arial" w:hAnsi="Arial" w:cs="Arial"/>
          <w:color w:val="auto"/>
          <w:sz w:val="24"/>
          <w:szCs w:val="24"/>
          <w:lang w:val="es-MX"/>
        </w:rPr>
        <w:t>Marco conceptual de la Contabilidad Gubernamental…………………</w:t>
      </w:r>
      <w:r w:rsidR="004015AC" w:rsidRPr="002C2A85">
        <w:rPr>
          <w:rFonts w:ascii="Arial" w:hAnsi="Arial" w:cs="Arial"/>
          <w:color w:val="auto"/>
          <w:sz w:val="24"/>
          <w:szCs w:val="24"/>
          <w:lang w:val="es-MX"/>
        </w:rPr>
        <w:t>…</w:t>
      </w:r>
      <w:r w:rsidR="00BB4E44" w:rsidRPr="002C2A85">
        <w:rPr>
          <w:rFonts w:ascii="Arial" w:hAnsi="Arial" w:cs="Arial"/>
          <w:color w:val="auto"/>
          <w:sz w:val="24"/>
          <w:szCs w:val="24"/>
          <w:lang w:val="es-MX"/>
        </w:rPr>
        <w:t>…</w:t>
      </w:r>
      <w:r w:rsidR="00AC563B" w:rsidRPr="002C2A85">
        <w:rPr>
          <w:rFonts w:ascii="Arial" w:hAnsi="Arial" w:cs="Arial"/>
          <w:color w:val="auto"/>
          <w:sz w:val="24"/>
          <w:szCs w:val="24"/>
          <w:lang w:val="es-MX"/>
        </w:rPr>
        <w:t>..</w:t>
      </w:r>
      <w:r w:rsidR="004015AC" w:rsidRPr="002C2A85">
        <w:rPr>
          <w:rFonts w:ascii="Arial" w:hAnsi="Arial" w:cs="Arial"/>
          <w:color w:val="auto"/>
          <w:sz w:val="24"/>
          <w:szCs w:val="24"/>
          <w:lang w:val="es-MX"/>
        </w:rPr>
        <w:t>.</w:t>
      </w:r>
      <w:r w:rsidR="00AC563B" w:rsidRPr="002C2A85">
        <w:rPr>
          <w:rFonts w:ascii="Arial" w:hAnsi="Arial" w:cs="Arial"/>
          <w:color w:val="auto"/>
          <w:sz w:val="24"/>
          <w:szCs w:val="24"/>
          <w:lang w:val="es-MX"/>
        </w:rPr>
        <w:t xml:space="preserve">  </w:t>
      </w:r>
      <w:r w:rsidR="00CC74EE" w:rsidRPr="002C2A85">
        <w:rPr>
          <w:rFonts w:ascii="Arial" w:hAnsi="Arial" w:cs="Arial"/>
          <w:color w:val="auto"/>
          <w:sz w:val="24"/>
          <w:szCs w:val="24"/>
          <w:lang w:val="es-MX"/>
        </w:rPr>
        <w:t>1</w:t>
      </w:r>
      <w:r w:rsidR="00AC563B" w:rsidRPr="002C2A85">
        <w:rPr>
          <w:rFonts w:ascii="Arial" w:hAnsi="Arial" w:cs="Arial"/>
          <w:color w:val="auto"/>
          <w:sz w:val="24"/>
          <w:szCs w:val="24"/>
          <w:lang w:val="es-MX"/>
        </w:rPr>
        <w:t>4</w:t>
      </w:r>
    </w:p>
    <w:p w:rsidR="00AE6480" w:rsidRPr="00AC563B" w:rsidRDefault="00AE6480" w:rsidP="0047612E">
      <w:pPr>
        <w:pStyle w:val="TtulodeTDC"/>
        <w:rPr>
          <w:rFonts w:ascii="Arial" w:hAnsi="Arial" w:cs="Arial"/>
          <w:i/>
          <w:color w:val="943634" w:themeColor="accent2" w:themeShade="BF"/>
          <w:sz w:val="24"/>
          <w:szCs w:val="24"/>
          <w:lang w:val="es-MX"/>
        </w:rPr>
      </w:pPr>
      <w:r w:rsidRPr="002C2A85">
        <w:rPr>
          <w:rFonts w:ascii="Arial" w:hAnsi="Arial" w:cs="Arial"/>
          <w:color w:val="auto"/>
          <w:sz w:val="24"/>
          <w:szCs w:val="24"/>
          <w:lang w:val="es-MX"/>
        </w:rPr>
        <w:t>1.3</w:t>
      </w:r>
      <w:r w:rsidRPr="002C2A85">
        <w:rPr>
          <w:rFonts w:ascii="Arial" w:hAnsi="Arial" w:cs="Arial"/>
          <w:color w:val="auto"/>
          <w:sz w:val="24"/>
          <w:szCs w:val="24"/>
          <w:lang w:val="es-MX"/>
        </w:rPr>
        <w:tab/>
      </w:r>
      <w:r w:rsidR="005429AE" w:rsidRPr="002C2A85">
        <w:rPr>
          <w:rFonts w:ascii="Arial" w:hAnsi="Arial" w:cs="Arial"/>
          <w:color w:val="auto"/>
          <w:sz w:val="24"/>
          <w:szCs w:val="24"/>
          <w:lang w:val="es-MX"/>
        </w:rPr>
        <w:t>Postulados básicos de Contabilidad Gubernamental………</w:t>
      </w:r>
      <w:r w:rsidR="00904736" w:rsidRPr="002C2A85">
        <w:rPr>
          <w:rFonts w:ascii="Arial" w:hAnsi="Arial" w:cs="Arial"/>
          <w:color w:val="auto"/>
          <w:sz w:val="24"/>
          <w:szCs w:val="24"/>
          <w:lang w:val="es-MX"/>
        </w:rPr>
        <w:t>………………</w:t>
      </w:r>
      <w:r w:rsidR="00BB4E44" w:rsidRPr="002C2A85">
        <w:rPr>
          <w:rFonts w:ascii="Arial" w:hAnsi="Arial" w:cs="Arial"/>
          <w:color w:val="auto"/>
          <w:sz w:val="24"/>
          <w:szCs w:val="24"/>
          <w:lang w:val="es-MX"/>
        </w:rPr>
        <w:t>….</w:t>
      </w:r>
      <w:r w:rsidR="004015AC" w:rsidRPr="002C2A85">
        <w:rPr>
          <w:rFonts w:ascii="Arial" w:hAnsi="Arial" w:cs="Arial"/>
          <w:color w:val="auto"/>
          <w:sz w:val="24"/>
          <w:szCs w:val="24"/>
          <w:lang w:val="es-MX"/>
        </w:rPr>
        <w:t xml:space="preserve">  </w:t>
      </w:r>
      <w:r w:rsidR="00AC563B" w:rsidRPr="002C2A85">
        <w:rPr>
          <w:rFonts w:ascii="Arial" w:hAnsi="Arial" w:cs="Arial"/>
          <w:color w:val="auto"/>
          <w:sz w:val="24"/>
          <w:szCs w:val="24"/>
          <w:lang w:val="es-MX"/>
        </w:rPr>
        <w:t>21</w:t>
      </w:r>
    </w:p>
    <w:p w:rsidR="00AE6480" w:rsidRPr="00AC563B" w:rsidRDefault="00AE6480" w:rsidP="0047612E">
      <w:pPr>
        <w:pStyle w:val="TtulodeTDC"/>
        <w:rPr>
          <w:rFonts w:ascii="Arial" w:hAnsi="Arial" w:cs="Arial"/>
          <w:color w:val="auto"/>
          <w:sz w:val="24"/>
          <w:szCs w:val="24"/>
          <w:lang w:val="es-MX"/>
        </w:rPr>
      </w:pPr>
    </w:p>
    <w:p w:rsidR="00904736" w:rsidRPr="002754E6" w:rsidRDefault="00904736" w:rsidP="00904736">
      <w:pPr>
        <w:rPr>
          <w:rFonts w:ascii="Arial" w:hAnsi="Arial" w:cs="Arial"/>
          <w:lang w:val="es-MX"/>
        </w:rPr>
      </w:pPr>
    </w:p>
    <w:p w:rsidR="00904736" w:rsidRPr="002754E6" w:rsidRDefault="00904736" w:rsidP="00904736">
      <w:pPr>
        <w:rPr>
          <w:rFonts w:ascii="Arial" w:hAnsi="Arial" w:cs="Arial"/>
          <w:lang w:val="es-MX"/>
        </w:rPr>
      </w:pPr>
    </w:p>
    <w:p w:rsidR="00AE6480" w:rsidRPr="002754E6" w:rsidRDefault="00AE6480"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2.</w:t>
      </w:r>
      <w:r w:rsidRPr="002754E6">
        <w:rPr>
          <w:rFonts w:ascii="Arial" w:hAnsi="Arial" w:cs="Arial"/>
          <w:color w:val="auto"/>
          <w:sz w:val="24"/>
          <w:szCs w:val="24"/>
          <w:lang w:val="es-MX"/>
        </w:rPr>
        <w:tab/>
      </w:r>
      <w:r w:rsidR="005429AE" w:rsidRPr="002754E6">
        <w:rPr>
          <w:rFonts w:ascii="Arial" w:hAnsi="Arial" w:cs="Arial"/>
          <w:color w:val="auto"/>
          <w:sz w:val="24"/>
          <w:szCs w:val="24"/>
          <w:lang w:val="es-MX"/>
        </w:rPr>
        <w:t>CONSTRUYENDO LA CONTABILIDAD GUBERNAMENTAL ARMONIZADA</w:t>
      </w:r>
    </w:p>
    <w:p w:rsidR="00904736" w:rsidRPr="002C2A85" w:rsidRDefault="004C7CEF" w:rsidP="005429AE">
      <w:pPr>
        <w:rPr>
          <w:rFonts w:ascii="Arial" w:hAnsi="Arial" w:cs="Arial"/>
          <w:b/>
          <w:lang w:val="es-MX"/>
        </w:rPr>
      </w:pPr>
      <w:r>
        <w:rPr>
          <w:rFonts w:ascii="Arial" w:hAnsi="Arial" w:cs="Arial"/>
          <w:b/>
          <w:lang w:val="es-MX"/>
        </w:rPr>
        <w:t xml:space="preserve">            Y PREPARACIÓN DE LA INFORMACIÓ</w:t>
      </w:r>
      <w:r w:rsidR="005429AE" w:rsidRPr="002754E6">
        <w:rPr>
          <w:rFonts w:ascii="Arial" w:hAnsi="Arial" w:cs="Arial"/>
          <w:b/>
          <w:lang w:val="es-MX"/>
        </w:rPr>
        <w:t>N FINANCIERA</w:t>
      </w:r>
      <w:r w:rsidR="002C2A85">
        <w:rPr>
          <w:rFonts w:ascii="Arial" w:hAnsi="Arial" w:cs="Arial"/>
          <w:lang w:val="es-MX"/>
        </w:rPr>
        <w:t xml:space="preserve">……………….  </w:t>
      </w:r>
      <w:r w:rsidR="002C2A85" w:rsidRPr="002C2A85">
        <w:rPr>
          <w:rFonts w:ascii="Arial" w:hAnsi="Arial" w:cs="Arial"/>
          <w:b/>
          <w:lang w:val="es-MX"/>
        </w:rPr>
        <w:t>25</w:t>
      </w:r>
      <w:r w:rsidR="005429AE" w:rsidRPr="002C2A85">
        <w:rPr>
          <w:rFonts w:ascii="Arial" w:hAnsi="Arial" w:cs="Arial"/>
          <w:b/>
          <w:lang w:val="es-MX"/>
        </w:rPr>
        <w:t xml:space="preserve">   </w:t>
      </w:r>
    </w:p>
    <w:p w:rsidR="005429AE" w:rsidRPr="002754E6" w:rsidRDefault="005429AE" w:rsidP="005429AE">
      <w:pPr>
        <w:rPr>
          <w:rFonts w:ascii="Arial" w:hAnsi="Arial" w:cs="Arial"/>
          <w:lang w:val="es-MX"/>
        </w:rPr>
      </w:pPr>
      <w:r w:rsidRPr="002754E6">
        <w:rPr>
          <w:rFonts w:ascii="Arial" w:hAnsi="Arial" w:cs="Arial"/>
          <w:lang w:val="es-MX"/>
        </w:rPr>
        <w:t xml:space="preserve">         </w:t>
      </w:r>
    </w:p>
    <w:p w:rsidR="00AE6480" w:rsidRPr="002754E6" w:rsidRDefault="00904736" w:rsidP="0047612E">
      <w:pPr>
        <w:pStyle w:val="TtulodeTDC"/>
        <w:rPr>
          <w:rFonts w:ascii="Arial" w:hAnsi="Arial" w:cs="Arial"/>
          <w:i/>
          <w:color w:val="C00000"/>
          <w:sz w:val="24"/>
          <w:szCs w:val="24"/>
          <w:lang w:val="es-MX"/>
        </w:rPr>
      </w:pPr>
      <w:r w:rsidRPr="002754E6">
        <w:rPr>
          <w:rFonts w:ascii="Arial" w:hAnsi="Arial" w:cs="Arial"/>
          <w:color w:val="auto"/>
          <w:sz w:val="24"/>
          <w:szCs w:val="24"/>
          <w:lang w:val="es-MX"/>
        </w:rPr>
        <w:t>2.1</w:t>
      </w:r>
      <w:r w:rsidRPr="002754E6">
        <w:rPr>
          <w:rFonts w:ascii="Arial" w:hAnsi="Arial" w:cs="Arial"/>
          <w:color w:val="auto"/>
          <w:sz w:val="24"/>
          <w:szCs w:val="24"/>
          <w:lang w:val="es-MX"/>
        </w:rPr>
        <w:tab/>
        <w:t>Clasificador por Objeto del Gasto……………………………………………</w:t>
      </w:r>
      <w:r w:rsidR="002C2A85">
        <w:rPr>
          <w:rFonts w:ascii="Arial" w:hAnsi="Arial" w:cs="Arial"/>
          <w:color w:val="auto"/>
          <w:sz w:val="24"/>
          <w:szCs w:val="24"/>
          <w:lang w:val="es-MX"/>
        </w:rPr>
        <w:t>…..</w:t>
      </w:r>
      <w:r w:rsidR="004015AC" w:rsidRPr="002754E6">
        <w:rPr>
          <w:rFonts w:ascii="Arial" w:hAnsi="Arial" w:cs="Arial"/>
          <w:color w:val="auto"/>
          <w:sz w:val="24"/>
          <w:szCs w:val="24"/>
          <w:lang w:val="es-MX"/>
        </w:rPr>
        <w:t xml:space="preserve"> </w:t>
      </w:r>
      <w:r w:rsidR="002C2A85">
        <w:rPr>
          <w:rFonts w:ascii="Arial" w:hAnsi="Arial" w:cs="Arial"/>
          <w:color w:val="auto"/>
          <w:sz w:val="24"/>
          <w:szCs w:val="24"/>
          <w:lang w:val="es-MX"/>
        </w:rPr>
        <w:t xml:space="preserve"> 27</w:t>
      </w:r>
    </w:p>
    <w:p w:rsidR="00AE6480" w:rsidRPr="002754E6" w:rsidRDefault="00AE6480" w:rsidP="0047612E">
      <w:pPr>
        <w:pStyle w:val="TtulodeTDC"/>
        <w:rPr>
          <w:rFonts w:ascii="Arial" w:hAnsi="Arial" w:cs="Arial"/>
          <w:i/>
          <w:color w:val="C00000"/>
          <w:sz w:val="24"/>
          <w:szCs w:val="24"/>
          <w:lang w:val="es-MX"/>
        </w:rPr>
      </w:pPr>
      <w:r w:rsidRPr="002754E6">
        <w:rPr>
          <w:rFonts w:ascii="Arial" w:hAnsi="Arial" w:cs="Arial"/>
          <w:color w:val="auto"/>
          <w:sz w:val="24"/>
          <w:szCs w:val="24"/>
          <w:lang w:val="es-MX"/>
        </w:rPr>
        <w:t>2.2</w:t>
      </w:r>
      <w:r w:rsidRPr="002754E6">
        <w:rPr>
          <w:rFonts w:ascii="Arial" w:hAnsi="Arial" w:cs="Arial"/>
          <w:color w:val="auto"/>
          <w:sz w:val="24"/>
          <w:szCs w:val="24"/>
          <w:lang w:val="es-MX"/>
        </w:rPr>
        <w:tab/>
        <w:t xml:space="preserve"> </w:t>
      </w:r>
      <w:r w:rsidR="00904736" w:rsidRPr="002754E6">
        <w:rPr>
          <w:rFonts w:ascii="Arial" w:hAnsi="Arial" w:cs="Arial"/>
          <w:color w:val="auto"/>
          <w:sz w:val="24"/>
          <w:szCs w:val="24"/>
          <w:lang w:val="es-MX"/>
        </w:rPr>
        <w:t>Momentos Contables</w:t>
      </w:r>
      <w:r w:rsidR="004015AC" w:rsidRPr="002754E6">
        <w:rPr>
          <w:rFonts w:ascii="Arial" w:hAnsi="Arial" w:cs="Arial"/>
          <w:color w:val="auto"/>
          <w:sz w:val="24"/>
          <w:szCs w:val="24"/>
          <w:lang w:val="es-MX"/>
        </w:rPr>
        <w:t xml:space="preserve"> de los Egresos………….……………………………</w:t>
      </w:r>
      <w:r w:rsidR="002C2A85">
        <w:rPr>
          <w:rFonts w:ascii="Arial" w:hAnsi="Arial" w:cs="Arial"/>
          <w:color w:val="auto"/>
          <w:sz w:val="24"/>
          <w:szCs w:val="24"/>
          <w:lang w:val="es-MX"/>
        </w:rPr>
        <w:t>….</w:t>
      </w:r>
      <w:r w:rsidR="004015AC" w:rsidRPr="002754E6">
        <w:rPr>
          <w:rFonts w:ascii="Arial" w:hAnsi="Arial" w:cs="Arial"/>
          <w:color w:val="auto"/>
          <w:sz w:val="24"/>
          <w:szCs w:val="24"/>
          <w:lang w:val="es-MX"/>
        </w:rPr>
        <w:t xml:space="preserve">  </w:t>
      </w:r>
      <w:r w:rsidR="002C2A85">
        <w:rPr>
          <w:rFonts w:ascii="Arial" w:hAnsi="Arial" w:cs="Arial"/>
          <w:color w:val="auto"/>
          <w:sz w:val="24"/>
          <w:szCs w:val="24"/>
          <w:lang w:val="es-MX"/>
        </w:rPr>
        <w:t>29</w:t>
      </w:r>
    </w:p>
    <w:p w:rsidR="00AE6480" w:rsidRPr="002754E6" w:rsidRDefault="00904736"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2.3       Clasificador por Rubro de Ingreso………………………………………………</w:t>
      </w:r>
      <w:r w:rsidR="002C2A85">
        <w:rPr>
          <w:rFonts w:ascii="Arial" w:hAnsi="Arial" w:cs="Arial"/>
          <w:color w:val="auto"/>
          <w:sz w:val="24"/>
          <w:szCs w:val="24"/>
          <w:lang w:val="es-MX"/>
        </w:rPr>
        <w:t xml:space="preserve">   35</w:t>
      </w:r>
    </w:p>
    <w:p w:rsidR="00AE6480" w:rsidRPr="002754E6" w:rsidRDefault="00904736"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 xml:space="preserve">2.4 </w:t>
      </w:r>
      <w:r w:rsidR="00AE6480" w:rsidRPr="002754E6">
        <w:rPr>
          <w:rFonts w:ascii="Arial" w:hAnsi="Arial" w:cs="Arial"/>
          <w:color w:val="auto"/>
          <w:sz w:val="24"/>
          <w:szCs w:val="24"/>
          <w:lang w:val="es-MX"/>
        </w:rPr>
        <w:tab/>
        <w:t>M</w:t>
      </w:r>
      <w:r w:rsidRPr="002754E6">
        <w:rPr>
          <w:rFonts w:ascii="Arial" w:hAnsi="Arial" w:cs="Arial"/>
          <w:color w:val="auto"/>
          <w:sz w:val="24"/>
          <w:szCs w:val="24"/>
          <w:lang w:val="es-MX"/>
        </w:rPr>
        <w:t>omentos Contables</w:t>
      </w:r>
      <w:r w:rsidR="002C2A85">
        <w:rPr>
          <w:rFonts w:ascii="Arial" w:hAnsi="Arial" w:cs="Arial"/>
          <w:color w:val="auto"/>
          <w:sz w:val="24"/>
          <w:szCs w:val="24"/>
          <w:lang w:val="es-MX"/>
        </w:rPr>
        <w:t xml:space="preserve"> de los Ingresos…………………………………………..   38 </w:t>
      </w:r>
    </w:p>
    <w:p w:rsidR="002C2A85" w:rsidRDefault="00904736"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2.5</w:t>
      </w:r>
      <w:r w:rsidR="00AE6480" w:rsidRPr="002754E6">
        <w:rPr>
          <w:rFonts w:ascii="Arial" w:hAnsi="Arial" w:cs="Arial"/>
          <w:color w:val="auto"/>
          <w:sz w:val="24"/>
          <w:szCs w:val="24"/>
          <w:lang w:val="es-MX"/>
        </w:rPr>
        <w:tab/>
        <w:t>Clasifica</w:t>
      </w:r>
      <w:r w:rsidRPr="002754E6">
        <w:rPr>
          <w:rFonts w:ascii="Arial" w:hAnsi="Arial" w:cs="Arial"/>
          <w:color w:val="auto"/>
          <w:sz w:val="24"/>
          <w:szCs w:val="24"/>
          <w:lang w:val="es-MX"/>
        </w:rPr>
        <w:t>dor por Tipo de Gasto…………………………………………………</w:t>
      </w:r>
      <w:r w:rsidR="002C2A85">
        <w:rPr>
          <w:rFonts w:ascii="Arial" w:hAnsi="Arial" w:cs="Arial"/>
          <w:color w:val="auto"/>
          <w:sz w:val="24"/>
          <w:szCs w:val="24"/>
          <w:lang w:val="es-MX"/>
        </w:rPr>
        <w:t>...  39</w:t>
      </w:r>
    </w:p>
    <w:p w:rsidR="00AE6480" w:rsidRPr="002754E6" w:rsidRDefault="00904736"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2.6       Clasificador Funcional del Gasto…………………………………………………</w:t>
      </w:r>
      <w:r w:rsidR="002C2A85">
        <w:rPr>
          <w:rFonts w:ascii="Arial" w:hAnsi="Arial" w:cs="Arial"/>
          <w:color w:val="auto"/>
          <w:sz w:val="24"/>
          <w:szCs w:val="24"/>
          <w:lang w:val="es-MX"/>
        </w:rPr>
        <w:t xml:space="preserve"> 41</w:t>
      </w:r>
    </w:p>
    <w:p w:rsidR="00763BAE" w:rsidRPr="002754E6" w:rsidRDefault="00763BAE" w:rsidP="00763BAE">
      <w:pPr>
        <w:rPr>
          <w:rFonts w:ascii="Arial" w:hAnsi="Arial" w:cs="Arial"/>
          <w:lang w:val="es-MX"/>
        </w:rPr>
      </w:pPr>
    </w:p>
    <w:p w:rsidR="00763BAE" w:rsidRDefault="00763BAE" w:rsidP="00763BAE">
      <w:pPr>
        <w:rPr>
          <w:rFonts w:ascii="Arial" w:hAnsi="Arial" w:cs="Arial"/>
          <w:lang w:val="es-MX"/>
        </w:rPr>
      </w:pPr>
    </w:p>
    <w:p w:rsidR="002C2A85" w:rsidRDefault="002C2A85" w:rsidP="00763BAE">
      <w:pPr>
        <w:rPr>
          <w:rFonts w:ascii="Arial" w:hAnsi="Arial" w:cs="Arial"/>
          <w:lang w:val="es-MX"/>
        </w:rPr>
      </w:pPr>
    </w:p>
    <w:p w:rsidR="002C2A85" w:rsidRPr="002754E6" w:rsidRDefault="002C2A85" w:rsidP="00763BAE">
      <w:pPr>
        <w:rPr>
          <w:rFonts w:ascii="Arial" w:hAnsi="Arial" w:cs="Arial"/>
          <w:lang w:val="es-MX"/>
        </w:rPr>
      </w:pPr>
    </w:p>
    <w:p w:rsidR="002C2A85" w:rsidRDefault="002C2A85" w:rsidP="00856A35">
      <w:pPr>
        <w:pStyle w:val="TtulodeTDC"/>
        <w:rPr>
          <w:rFonts w:ascii="Arial" w:hAnsi="Arial" w:cs="Arial"/>
          <w:color w:val="auto"/>
          <w:sz w:val="24"/>
          <w:szCs w:val="24"/>
          <w:lang w:val="es-MX"/>
        </w:rPr>
      </w:pPr>
    </w:p>
    <w:p w:rsidR="00763BAE" w:rsidRPr="002754E6" w:rsidRDefault="00AE6480" w:rsidP="00856A35">
      <w:pPr>
        <w:pStyle w:val="TtulodeTDC"/>
        <w:rPr>
          <w:rFonts w:ascii="Arial" w:hAnsi="Arial" w:cs="Arial"/>
          <w:color w:val="auto"/>
          <w:sz w:val="24"/>
          <w:szCs w:val="24"/>
          <w:lang w:val="es-MX"/>
        </w:rPr>
      </w:pPr>
      <w:r w:rsidRPr="002754E6">
        <w:rPr>
          <w:rFonts w:ascii="Arial" w:hAnsi="Arial" w:cs="Arial"/>
          <w:color w:val="auto"/>
          <w:sz w:val="24"/>
          <w:szCs w:val="24"/>
          <w:lang w:val="es-MX"/>
        </w:rPr>
        <w:t>3.</w:t>
      </w:r>
      <w:r w:rsidR="00763BAE" w:rsidRPr="002754E6">
        <w:rPr>
          <w:rFonts w:ascii="Arial" w:hAnsi="Arial" w:cs="Arial"/>
          <w:color w:val="auto"/>
          <w:sz w:val="24"/>
          <w:szCs w:val="24"/>
          <w:lang w:val="es-MX"/>
        </w:rPr>
        <w:t xml:space="preserve">          MANUAL DE CONTABILIDAD GUBERNAMENTAL</w:t>
      </w:r>
      <w:r w:rsidR="00097332">
        <w:rPr>
          <w:rFonts w:ascii="Arial" w:hAnsi="Arial" w:cs="Arial"/>
          <w:color w:val="auto"/>
          <w:sz w:val="24"/>
          <w:szCs w:val="24"/>
          <w:lang w:val="es-MX"/>
        </w:rPr>
        <w:t>………………………    43</w:t>
      </w:r>
    </w:p>
    <w:p w:rsidR="00763BAE" w:rsidRPr="002754E6" w:rsidRDefault="00763BAE" w:rsidP="00763BAE">
      <w:pPr>
        <w:rPr>
          <w:rFonts w:ascii="Arial" w:hAnsi="Arial" w:cs="Arial"/>
          <w:lang w:val="es-MX"/>
        </w:rPr>
      </w:pPr>
    </w:p>
    <w:p w:rsidR="00763BAE" w:rsidRPr="002754E6" w:rsidRDefault="00AE6480" w:rsidP="00856A35">
      <w:pPr>
        <w:pStyle w:val="TtulodeTDC"/>
        <w:rPr>
          <w:rFonts w:ascii="Arial" w:hAnsi="Arial" w:cs="Arial"/>
          <w:color w:val="auto"/>
          <w:sz w:val="24"/>
          <w:szCs w:val="24"/>
          <w:lang w:val="es-MX"/>
        </w:rPr>
      </w:pPr>
      <w:r w:rsidRPr="002754E6">
        <w:rPr>
          <w:rFonts w:ascii="Arial" w:hAnsi="Arial" w:cs="Arial"/>
          <w:color w:val="auto"/>
          <w:sz w:val="24"/>
          <w:szCs w:val="24"/>
          <w:lang w:val="es-MX"/>
        </w:rPr>
        <w:t>3.</w:t>
      </w:r>
      <w:r w:rsidR="00763BAE" w:rsidRPr="002754E6">
        <w:rPr>
          <w:rFonts w:ascii="Arial" w:hAnsi="Arial" w:cs="Arial"/>
          <w:color w:val="auto"/>
          <w:sz w:val="24"/>
          <w:szCs w:val="24"/>
          <w:lang w:val="es-MX"/>
        </w:rPr>
        <w:t>1</w:t>
      </w:r>
      <w:r w:rsidRPr="002754E6">
        <w:rPr>
          <w:rFonts w:ascii="Arial" w:hAnsi="Arial" w:cs="Arial"/>
          <w:color w:val="auto"/>
          <w:sz w:val="24"/>
          <w:szCs w:val="24"/>
          <w:lang w:val="es-MX"/>
        </w:rPr>
        <w:tab/>
      </w:r>
      <w:r w:rsidR="00763BAE" w:rsidRPr="002754E6">
        <w:rPr>
          <w:rFonts w:ascii="Arial" w:hAnsi="Arial" w:cs="Arial"/>
          <w:color w:val="auto"/>
          <w:sz w:val="24"/>
          <w:szCs w:val="24"/>
          <w:lang w:val="es-MX"/>
        </w:rPr>
        <w:t xml:space="preserve">Fundamentos Metodológicos de la Integración y Producción Automática </w:t>
      </w:r>
    </w:p>
    <w:p w:rsidR="00AE6480" w:rsidRPr="002754E6" w:rsidRDefault="00763BAE" w:rsidP="00856A35">
      <w:pPr>
        <w:pStyle w:val="TtulodeTDC"/>
        <w:rPr>
          <w:rFonts w:ascii="Arial" w:hAnsi="Arial" w:cs="Arial"/>
          <w:color w:val="auto"/>
          <w:sz w:val="24"/>
          <w:szCs w:val="24"/>
          <w:lang w:val="es-MX"/>
        </w:rPr>
      </w:pPr>
      <w:r w:rsidRPr="002754E6">
        <w:rPr>
          <w:rFonts w:ascii="Arial" w:hAnsi="Arial" w:cs="Arial"/>
          <w:color w:val="auto"/>
          <w:sz w:val="24"/>
          <w:szCs w:val="24"/>
          <w:lang w:val="es-MX"/>
        </w:rPr>
        <w:t xml:space="preserve">             de Información Financiera…………………………………………………….</w:t>
      </w:r>
      <w:r w:rsidR="00097332">
        <w:rPr>
          <w:rFonts w:ascii="Arial" w:hAnsi="Arial" w:cs="Arial"/>
          <w:color w:val="auto"/>
          <w:sz w:val="24"/>
          <w:szCs w:val="24"/>
          <w:lang w:val="es-MX"/>
        </w:rPr>
        <w:t xml:space="preserve">   49</w:t>
      </w:r>
    </w:p>
    <w:p w:rsidR="00AE6480" w:rsidRPr="002754E6" w:rsidRDefault="00AE6480"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3.</w:t>
      </w:r>
      <w:r w:rsidR="00763BAE" w:rsidRPr="002754E6">
        <w:rPr>
          <w:rFonts w:ascii="Arial" w:hAnsi="Arial" w:cs="Arial"/>
          <w:color w:val="auto"/>
          <w:sz w:val="24"/>
          <w:szCs w:val="24"/>
          <w:lang w:val="es-MX"/>
        </w:rPr>
        <w:t>2</w:t>
      </w:r>
      <w:r w:rsidRPr="002754E6">
        <w:rPr>
          <w:rFonts w:ascii="Arial" w:hAnsi="Arial" w:cs="Arial"/>
          <w:color w:val="auto"/>
          <w:sz w:val="24"/>
          <w:szCs w:val="24"/>
          <w:lang w:val="es-MX"/>
        </w:rPr>
        <w:tab/>
      </w:r>
      <w:r w:rsidR="00763BAE" w:rsidRPr="002754E6">
        <w:rPr>
          <w:rFonts w:ascii="Arial" w:hAnsi="Arial" w:cs="Arial"/>
          <w:color w:val="auto"/>
          <w:sz w:val="24"/>
          <w:szCs w:val="24"/>
          <w:lang w:val="es-MX"/>
        </w:rPr>
        <w:t>Plan de Cuentas</w:t>
      </w:r>
      <w:r w:rsidRPr="002754E6">
        <w:rPr>
          <w:rFonts w:ascii="Arial" w:hAnsi="Arial" w:cs="Arial"/>
          <w:color w:val="auto"/>
          <w:sz w:val="24"/>
          <w:szCs w:val="24"/>
          <w:lang w:val="es-MX"/>
        </w:rPr>
        <w:t>…………………………………………………………………</w:t>
      </w:r>
      <w:r w:rsidR="00097332">
        <w:rPr>
          <w:rFonts w:ascii="Arial" w:hAnsi="Arial" w:cs="Arial"/>
          <w:color w:val="auto"/>
          <w:sz w:val="24"/>
          <w:szCs w:val="24"/>
          <w:lang w:val="es-MX"/>
        </w:rPr>
        <w:t xml:space="preserve">   55</w:t>
      </w:r>
    </w:p>
    <w:p w:rsidR="00097332" w:rsidRDefault="00AE6480" w:rsidP="00097332">
      <w:pPr>
        <w:pStyle w:val="TtulodeTDC"/>
        <w:rPr>
          <w:rFonts w:ascii="Arial" w:hAnsi="Arial" w:cs="Arial"/>
          <w:color w:val="auto"/>
          <w:sz w:val="24"/>
          <w:szCs w:val="24"/>
          <w:lang w:val="es-MX"/>
        </w:rPr>
      </w:pPr>
      <w:r w:rsidRPr="002754E6">
        <w:rPr>
          <w:rFonts w:ascii="Arial" w:hAnsi="Arial" w:cs="Arial"/>
          <w:color w:val="auto"/>
          <w:sz w:val="24"/>
          <w:szCs w:val="24"/>
          <w:lang w:val="es-MX"/>
        </w:rPr>
        <w:t>3.</w:t>
      </w:r>
      <w:r w:rsidR="00763BAE" w:rsidRPr="002754E6">
        <w:rPr>
          <w:rFonts w:ascii="Arial" w:hAnsi="Arial" w:cs="Arial"/>
          <w:color w:val="auto"/>
          <w:sz w:val="24"/>
          <w:szCs w:val="24"/>
          <w:lang w:val="es-MX"/>
        </w:rPr>
        <w:t>3</w:t>
      </w:r>
      <w:r w:rsidRPr="002754E6">
        <w:rPr>
          <w:rFonts w:ascii="Arial" w:hAnsi="Arial" w:cs="Arial"/>
          <w:color w:val="auto"/>
          <w:sz w:val="24"/>
          <w:szCs w:val="24"/>
          <w:lang w:val="es-MX"/>
        </w:rPr>
        <w:tab/>
      </w:r>
      <w:r w:rsidR="00763BAE" w:rsidRPr="002754E6">
        <w:rPr>
          <w:rFonts w:ascii="Arial" w:hAnsi="Arial" w:cs="Arial"/>
          <w:color w:val="auto"/>
          <w:sz w:val="24"/>
          <w:szCs w:val="24"/>
          <w:lang w:val="es-MX"/>
        </w:rPr>
        <w:t>Manejo de Cuentas y Modelos de Asientos Contables…………………….</w:t>
      </w:r>
      <w:r w:rsidR="00097332">
        <w:rPr>
          <w:rFonts w:ascii="Arial" w:hAnsi="Arial" w:cs="Arial"/>
          <w:color w:val="auto"/>
          <w:sz w:val="24"/>
          <w:szCs w:val="24"/>
          <w:lang w:val="es-MX"/>
        </w:rPr>
        <w:t xml:space="preserve">   66</w:t>
      </w:r>
    </w:p>
    <w:p w:rsidR="00763BAE" w:rsidRPr="002754E6" w:rsidRDefault="00763BAE" w:rsidP="00097332">
      <w:pPr>
        <w:pStyle w:val="TtulodeTDC"/>
        <w:rPr>
          <w:rFonts w:ascii="Arial" w:hAnsi="Arial" w:cs="Arial"/>
          <w:color w:val="auto"/>
          <w:sz w:val="24"/>
          <w:szCs w:val="24"/>
          <w:lang w:val="es-MX"/>
        </w:rPr>
      </w:pPr>
      <w:r w:rsidRPr="002754E6">
        <w:rPr>
          <w:rFonts w:ascii="Arial" w:hAnsi="Arial" w:cs="Arial"/>
          <w:color w:val="auto"/>
          <w:sz w:val="24"/>
          <w:szCs w:val="24"/>
          <w:lang w:val="es-MX"/>
        </w:rPr>
        <w:t>3.4</w:t>
      </w:r>
      <w:r w:rsidR="00AE6480" w:rsidRPr="002754E6">
        <w:rPr>
          <w:rFonts w:ascii="Arial" w:hAnsi="Arial" w:cs="Arial"/>
          <w:color w:val="auto"/>
          <w:sz w:val="24"/>
          <w:szCs w:val="24"/>
          <w:lang w:val="es-MX"/>
        </w:rPr>
        <w:tab/>
      </w:r>
      <w:r w:rsidRPr="002754E6">
        <w:rPr>
          <w:rFonts w:ascii="Arial" w:hAnsi="Arial" w:cs="Arial"/>
          <w:color w:val="auto"/>
          <w:sz w:val="24"/>
          <w:szCs w:val="24"/>
          <w:lang w:val="es-MX"/>
        </w:rPr>
        <w:t xml:space="preserve">Normas y  metodología para  la  emisión de  información financiera y </w:t>
      </w:r>
    </w:p>
    <w:p w:rsidR="00763BAE" w:rsidRPr="002754E6" w:rsidRDefault="00763BAE" w:rsidP="00763BAE">
      <w:pPr>
        <w:pStyle w:val="TtulodeTDC"/>
        <w:jc w:val="both"/>
        <w:rPr>
          <w:rFonts w:ascii="Arial" w:hAnsi="Arial" w:cs="Arial"/>
          <w:color w:val="auto"/>
          <w:sz w:val="24"/>
          <w:szCs w:val="24"/>
          <w:lang w:val="es-MX"/>
        </w:rPr>
      </w:pPr>
      <w:r w:rsidRPr="002754E6">
        <w:rPr>
          <w:rFonts w:ascii="Arial" w:hAnsi="Arial" w:cs="Arial"/>
          <w:color w:val="auto"/>
          <w:sz w:val="24"/>
          <w:szCs w:val="24"/>
          <w:lang w:val="es-MX"/>
        </w:rPr>
        <w:t xml:space="preserve">            Estructura de  los  Estados  Financieros Básicos del  Ente  Público  y </w:t>
      </w:r>
    </w:p>
    <w:p w:rsidR="00AE6480" w:rsidRPr="002754E6" w:rsidRDefault="00763BAE" w:rsidP="00763BAE">
      <w:pPr>
        <w:pStyle w:val="TtulodeTDC"/>
        <w:jc w:val="both"/>
        <w:rPr>
          <w:rFonts w:ascii="Arial" w:hAnsi="Arial" w:cs="Arial"/>
          <w:color w:val="auto"/>
          <w:sz w:val="24"/>
          <w:szCs w:val="24"/>
          <w:lang w:val="es-MX"/>
        </w:rPr>
      </w:pPr>
      <w:r w:rsidRPr="002754E6">
        <w:rPr>
          <w:rFonts w:ascii="Arial" w:hAnsi="Arial" w:cs="Arial"/>
          <w:color w:val="auto"/>
          <w:sz w:val="24"/>
          <w:szCs w:val="24"/>
          <w:lang w:val="es-MX"/>
        </w:rPr>
        <w:t xml:space="preserve">            características de sus Notas……………………………………………………</w:t>
      </w:r>
      <w:r w:rsidR="00097332">
        <w:rPr>
          <w:rFonts w:ascii="Arial" w:hAnsi="Arial" w:cs="Arial"/>
          <w:color w:val="auto"/>
          <w:sz w:val="24"/>
          <w:szCs w:val="24"/>
          <w:lang w:val="es-MX"/>
        </w:rPr>
        <w:t xml:space="preserve">   86</w:t>
      </w:r>
    </w:p>
    <w:p w:rsidR="00AE6480" w:rsidRPr="002754E6" w:rsidRDefault="00763BAE" w:rsidP="0047612E">
      <w:pPr>
        <w:pStyle w:val="TtulodeTDC"/>
        <w:rPr>
          <w:rFonts w:ascii="Arial" w:hAnsi="Arial" w:cs="Arial"/>
          <w:color w:val="auto"/>
          <w:sz w:val="24"/>
          <w:szCs w:val="24"/>
          <w:lang w:val="es-MX"/>
        </w:rPr>
      </w:pPr>
      <w:r w:rsidRPr="002754E6">
        <w:rPr>
          <w:rFonts w:ascii="Arial" w:hAnsi="Arial" w:cs="Arial"/>
          <w:color w:val="auto"/>
          <w:sz w:val="24"/>
          <w:szCs w:val="24"/>
          <w:lang w:val="es-MX"/>
        </w:rPr>
        <w:t>3.5</w:t>
      </w:r>
      <w:r w:rsidR="00AE6480" w:rsidRPr="002754E6">
        <w:rPr>
          <w:rFonts w:ascii="Arial" w:hAnsi="Arial" w:cs="Arial"/>
          <w:color w:val="auto"/>
          <w:sz w:val="24"/>
          <w:szCs w:val="24"/>
          <w:lang w:val="es-MX"/>
        </w:rPr>
        <w:tab/>
      </w:r>
      <w:r w:rsidRPr="002754E6">
        <w:rPr>
          <w:rFonts w:ascii="Arial" w:hAnsi="Arial" w:cs="Arial"/>
          <w:color w:val="auto"/>
          <w:sz w:val="24"/>
          <w:szCs w:val="24"/>
          <w:lang w:val="es-MX"/>
        </w:rPr>
        <w:t>Matrices de conversión………………………………………………………….</w:t>
      </w:r>
      <w:r w:rsidR="00097332">
        <w:rPr>
          <w:rFonts w:ascii="Arial" w:hAnsi="Arial" w:cs="Arial"/>
          <w:color w:val="auto"/>
          <w:sz w:val="24"/>
          <w:szCs w:val="24"/>
          <w:lang w:val="es-MX"/>
        </w:rPr>
        <w:t xml:space="preserve">   94</w:t>
      </w:r>
    </w:p>
    <w:p w:rsidR="00AE6480" w:rsidRPr="002754E6" w:rsidRDefault="00AE6480" w:rsidP="0047612E">
      <w:pPr>
        <w:pStyle w:val="TtulodeTDC"/>
        <w:rPr>
          <w:rFonts w:ascii="Arial" w:hAnsi="Arial" w:cs="Arial"/>
          <w:color w:val="auto"/>
          <w:sz w:val="24"/>
          <w:szCs w:val="24"/>
          <w:lang w:val="es-MX"/>
        </w:rPr>
      </w:pPr>
    </w:p>
    <w:p w:rsidR="000324A9" w:rsidRDefault="000324A9" w:rsidP="000324A9">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V</w:t>
      </w:r>
      <w:r>
        <w:rPr>
          <w:rFonts w:ascii="Arial" w:hAnsi="Arial" w:cs="Arial"/>
          <w:b/>
          <w:color w:val="943634" w:themeColor="accent2" w:themeShade="BF"/>
          <w:sz w:val="28"/>
          <w:szCs w:val="28"/>
        </w:rPr>
        <w:t>I</w:t>
      </w:r>
      <w:r w:rsidRPr="00BB4E44">
        <w:rPr>
          <w:rFonts w:ascii="Arial" w:hAnsi="Arial" w:cs="Arial"/>
          <w:b/>
          <w:color w:val="943634" w:themeColor="accent2" w:themeShade="BF"/>
          <w:sz w:val="28"/>
          <w:szCs w:val="28"/>
        </w:rPr>
        <w:t xml:space="preserve">     </w:t>
      </w:r>
      <w:r w:rsidR="004C7CEF">
        <w:rPr>
          <w:rFonts w:ascii="Arial" w:hAnsi="Arial" w:cs="Arial"/>
          <w:b/>
          <w:color w:val="943634" w:themeColor="accent2" w:themeShade="BF"/>
          <w:sz w:val="28"/>
          <w:szCs w:val="28"/>
        </w:rPr>
        <w:t>CONCLUSIÓ</w:t>
      </w:r>
      <w:r>
        <w:rPr>
          <w:rFonts w:ascii="Arial" w:hAnsi="Arial" w:cs="Arial"/>
          <w:b/>
          <w:color w:val="943634" w:themeColor="accent2" w:themeShade="BF"/>
          <w:sz w:val="28"/>
          <w:szCs w:val="28"/>
        </w:rPr>
        <w:t>N…………………………………………………..   101</w:t>
      </w:r>
    </w:p>
    <w:p w:rsidR="000324A9" w:rsidRDefault="000324A9" w:rsidP="000324A9">
      <w:pPr>
        <w:rPr>
          <w:rFonts w:ascii="Arial" w:hAnsi="Arial" w:cs="Arial"/>
          <w:b/>
          <w:color w:val="943634" w:themeColor="accent2" w:themeShade="BF"/>
          <w:sz w:val="28"/>
          <w:szCs w:val="28"/>
        </w:rPr>
      </w:pPr>
    </w:p>
    <w:p w:rsidR="000324A9" w:rsidRDefault="000324A9" w:rsidP="000324A9">
      <w:pPr>
        <w:rPr>
          <w:rFonts w:ascii="Arial" w:hAnsi="Arial" w:cs="Arial"/>
          <w:b/>
          <w:color w:val="943634" w:themeColor="accent2" w:themeShade="BF"/>
          <w:sz w:val="28"/>
          <w:szCs w:val="28"/>
        </w:rPr>
      </w:pPr>
      <w:r w:rsidRPr="00BB4E44">
        <w:rPr>
          <w:rFonts w:ascii="Arial" w:hAnsi="Arial" w:cs="Arial"/>
          <w:b/>
          <w:color w:val="943634" w:themeColor="accent2" w:themeShade="BF"/>
          <w:sz w:val="28"/>
          <w:szCs w:val="28"/>
        </w:rPr>
        <w:t>V</w:t>
      </w:r>
      <w:r>
        <w:rPr>
          <w:rFonts w:ascii="Arial" w:hAnsi="Arial" w:cs="Arial"/>
          <w:b/>
          <w:color w:val="943634" w:themeColor="accent2" w:themeShade="BF"/>
          <w:sz w:val="28"/>
          <w:szCs w:val="28"/>
        </w:rPr>
        <w:t>II</w:t>
      </w:r>
      <w:r w:rsidRPr="00BB4E44">
        <w:rPr>
          <w:rFonts w:ascii="Arial" w:hAnsi="Arial" w:cs="Arial"/>
          <w:b/>
          <w:color w:val="943634" w:themeColor="accent2" w:themeShade="BF"/>
          <w:sz w:val="28"/>
          <w:szCs w:val="28"/>
        </w:rPr>
        <w:t xml:space="preserve">    </w:t>
      </w:r>
      <w:r w:rsidR="004C7CEF">
        <w:rPr>
          <w:rFonts w:ascii="Arial" w:hAnsi="Arial" w:cs="Arial"/>
          <w:b/>
          <w:color w:val="943634" w:themeColor="accent2" w:themeShade="BF"/>
          <w:sz w:val="28"/>
          <w:szCs w:val="28"/>
        </w:rPr>
        <w:t>BIBLIOGRAFÍ</w:t>
      </w:r>
      <w:r>
        <w:rPr>
          <w:rFonts w:ascii="Arial" w:hAnsi="Arial" w:cs="Arial"/>
          <w:b/>
          <w:color w:val="943634" w:themeColor="accent2" w:themeShade="BF"/>
          <w:sz w:val="28"/>
          <w:szCs w:val="28"/>
        </w:rPr>
        <w:t>A…………………………………………………   102</w:t>
      </w:r>
    </w:p>
    <w:p w:rsidR="000324A9" w:rsidRDefault="000324A9" w:rsidP="000324A9">
      <w:pPr>
        <w:rPr>
          <w:rFonts w:ascii="Arial" w:hAnsi="Arial" w:cs="Arial"/>
          <w:b/>
          <w:color w:val="943634" w:themeColor="accent2" w:themeShade="BF"/>
          <w:sz w:val="28"/>
          <w:szCs w:val="28"/>
        </w:rPr>
      </w:pPr>
    </w:p>
    <w:p w:rsidR="00AE6480" w:rsidRPr="002754E6" w:rsidRDefault="000324A9" w:rsidP="00411453">
      <w:pPr>
        <w:pStyle w:val="TtulodeTDC"/>
        <w:rPr>
          <w:rFonts w:ascii="Arial" w:hAnsi="Arial" w:cs="Arial"/>
          <w:color w:val="auto"/>
          <w:sz w:val="24"/>
          <w:szCs w:val="24"/>
          <w:lang w:val="es-MX"/>
        </w:rPr>
      </w:pPr>
      <w:r w:rsidRPr="002754E6">
        <w:rPr>
          <w:rFonts w:ascii="Arial" w:hAnsi="Arial" w:cs="Arial"/>
          <w:color w:val="auto"/>
          <w:sz w:val="24"/>
          <w:szCs w:val="24"/>
          <w:lang w:val="es-MX"/>
        </w:rPr>
        <w:t xml:space="preserve"> </w:t>
      </w:r>
      <w:r w:rsidR="00763BAE" w:rsidRPr="002754E6">
        <w:rPr>
          <w:rFonts w:ascii="Arial" w:hAnsi="Arial" w:cs="Arial"/>
          <w:color w:val="auto"/>
          <w:sz w:val="24"/>
          <w:szCs w:val="24"/>
          <w:lang w:val="es-MX"/>
        </w:rPr>
        <w:t xml:space="preserve">       </w:t>
      </w:r>
      <w:r w:rsidR="00BB4E44">
        <w:rPr>
          <w:rFonts w:ascii="Arial" w:hAnsi="Arial" w:cs="Arial"/>
          <w:color w:val="auto"/>
          <w:sz w:val="24"/>
          <w:szCs w:val="24"/>
          <w:lang w:val="es-MX"/>
        </w:rPr>
        <w:t xml:space="preserve">   </w:t>
      </w:r>
      <w:r w:rsidR="00763BAE" w:rsidRPr="002754E6">
        <w:rPr>
          <w:rFonts w:ascii="Arial" w:hAnsi="Arial" w:cs="Arial"/>
          <w:color w:val="auto"/>
          <w:sz w:val="24"/>
          <w:szCs w:val="24"/>
          <w:lang w:val="es-MX"/>
        </w:rPr>
        <w:t xml:space="preserve"> </w:t>
      </w:r>
      <w:r w:rsidR="00AE6480" w:rsidRPr="000324A9">
        <w:rPr>
          <w:rFonts w:ascii="Arial" w:hAnsi="Arial" w:cs="Arial"/>
          <w:color w:val="943634" w:themeColor="accent2" w:themeShade="BF"/>
          <w:szCs w:val="28"/>
          <w:lang w:val="es-MX"/>
        </w:rPr>
        <w:t>A</w:t>
      </w:r>
      <w:r w:rsidR="002C2A85" w:rsidRPr="000324A9">
        <w:rPr>
          <w:rFonts w:ascii="Arial" w:hAnsi="Arial" w:cs="Arial"/>
          <w:color w:val="943634" w:themeColor="accent2" w:themeShade="BF"/>
          <w:szCs w:val="28"/>
          <w:lang w:val="es-MX"/>
        </w:rPr>
        <w:t>NEXO</w:t>
      </w:r>
      <w:r>
        <w:rPr>
          <w:rFonts w:ascii="Arial" w:hAnsi="Arial" w:cs="Arial"/>
          <w:color w:val="943634" w:themeColor="accent2" w:themeShade="BF"/>
          <w:szCs w:val="28"/>
          <w:lang w:val="es-MX"/>
        </w:rPr>
        <w:t>S…………………………………………………………….   103</w:t>
      </w:r>
    </w:p>
    <w:p w:rsidR="00AE6480" w:rsidRPr="005429AE" w:rsidRDefault="002C2A85" w:rsidP="0047612E">
      <w:pPr>
        <w:pStyle w:val="TtulodeTDC"/>
        <w:rPr>
          <w:color w:val="auto"/>
          <w:sz w:val="40"/>
          <w:szCs w:val="40"/>
          <w:lang w:val="es-MX"/>
        </w:rPr>
      </w:pPr>
      <w:r>
        <w:rPr>
          <w:color w:val="auto"/>
          <w:sz w:val="40"/>
          <w:szCs w:val="40"/>
          <w:lang w:val="es-MX"/>
        </w:rPr>
        <w:t xml:space="preserve">       </w:t>
      </w:r>
    </w:p>
    <w:p w:rsidR="00AE6480" w:rsidRPr="005429AE" w:rsidRDefault="00AE6480" w:rsidP="00865AB8">
      <w:pPr>
        <w:rPr>
          <w:lang w:val="es-MX"/>
        </w:rPr>
      </w:pPr>
    </w:p>
    <w:p w:rsidR="00AE6480" w:rsidRPr="005429AE" w:rsidRDefault="00AE6480" w:rsidP="0047612E">
      <w:pPr>
        <w:pStyle w:val="TtulodeTDC"/>
        <w:rPr>
          <w:color w:val="auto"/>
          <w:sz w:val="40"/>
          <w:szCs w:val="40"/>
          <w:lang w:val="es-MX"/>
        </w:rPr>
      </w:pPr>
    </w:p>
    <w:p w:rsidR="00AE6480" w:rsidRPr="005429AE" w:rsidRDefault="00AE6480" w:rsidP="0047612E">
      <w:pPr>
        <w:pStyle w:val="TtulodeTDC"/>
        <w:rPr>
          <w:color w:val="auto"/>
          <w:sz w:val="40"/>
          <w:szCs w:val="40"/>
          <w:lang w:val="es-MX"/>
        </w:rPr>
      </w:pPr>
    </w:p>
    <w:p w:rsidR="00AE6480" w:rsidRPr="005429AE" w:rsidRDefault="00AE6480" w:rsidP="0047612E">
      <w:pPr>
        <w:pStyle w:val="TtulodeTDC"/>
        <w:rPr>
          <w:color w:val="auto"/>
          <w:sz w:val="40"/>
          <w:szCs w:val="40"/>
          <w:lang w:val="es-MX"/>
        </w:rPr>
      </w:pPr>
    </w:p>
    <w:p w:rsidR="00AE6480" w:rsidRPr="005429AE" w:rsidRDefault="00AE6480" w:rsidP="0047612E">
      <w:pPr>
        <w:pStyle w:val="TtulodeTDC"/>
        <w:rPr>
          <w:color w:val="auto"/>
          <w:sz w:val="40"/>
          <w:szCs w:val="40"/>
          <w:lang w:val="es-MX"/>
        </w:rPr>
      </w:pPr>
    </w:p>
    <w:p w:rsidR="00AE6480" w:rsidRPr="005429AE" w:rsidRDefault="00AE6480" w:rsidP="0047612E">
      <w:pPr>
        <w:pStyle w:val="TtulodeTDC"/>
        <w:rPr>
          <w:color w:val="auto"/>
          <w:sz w:val="40"/>
          <w:szCs w:val="40"/>
          <w:lang w:val="es-MX"/>
        </w:rPr>
      </w:pPr>
    </w:p>
    <w:p w:rsidR="00AE6480" w:rsidRPr="005429AE" w:rsidRDefault="00AE6480" w:rsidP="0047612E">
      <w:pPr>
        <w:pStyle w:val="TtulodeTDC"/>
        <w:rPr>
          <w:color w:val="auto"/>
          <w:sz w:val="40"/>
          <w:szCs w:val="40"/>
          <w:lang w:val="es-MX"/>
        </w:rPr>
      </w:pPr>
    </w:p>
    <w:p w:rsidR="00AE6480" w:rsidRDefault="00AE6480" w:rsidP="0047612E">
      <w:pPr>
        <w:pStyle w:val="TtulodeTDC"/>
        <w:rPr>
          <w:sz w:val="40"/>
          <w:szCs w:val="40"/>
          <w:lang w:val="es-MX"/>
        </w:rPr>
      </w:pPr>
    </w:p>
    <w:p w:rsidR="00AE6480" w:rsidRDefault="00AE6480" w:rsidP="0047612E">
      <w:pPr>
        <w:pStyle w:val="TtulodeTDC"/>
        <w:rPr>
          <w:sz w:val="40"/>
          <w:szCs w:val="40"/>
          <w:lang w:val="es-MX"/>
        </w:rPr>
      </w:pPr>
    </w:p>
    <w:p w:rsidR="00AE6480" w:rsidRDefault="00AE6480" w:rsidP="00865AB8">
      <w:pPr>
        <w:rPr>
          <w:lang w:val="es-MX"/>
        </w:rPr>
      </w:pPr>
    </w:p>
    <w:p w:rsidR="00AE6480" w:rsidRPr="00865AB8" w:rsidRDefault="00AE6480" w:rsidP="00865AB8">
      <w:pPr>
        <w:rPr>
          <w:lang w:val="es-MX"/>
        </w:rPr>
      </w:pPr>
    </w:p>
    <w:p w:rsidR="00D27765" w:rsidRDefault="00D27765" w:rsidP="0047612E">
      <w:pPr>
        <w:pStyle w:val="TtulodeTDC"/>
        <w:rPr>
          <w:color w:val="auto"/>
          <w:sz w:val="40"/>
          <w:szCs w:val="40"/>
          <w:lang w:val="es-MX"/>
        </w:rPr>
      </w:pPr>
    </w:p>
    <w:p w:rsidR="000324A9" w:rsidRPr="000324A9" w:rsidRDefault="000324A9" w:rsidP="000324A9">
      <w:pPr>
        <w:rPr>
          <w:lang w:val="es-MX"/>
        </w:rPr>
      </w:pPr>
    </w:p>
    <w:p w:rsidR="00E94BD3" w:rsidRPr="00C77E81" w:rsidRDefault="00E94BD3" w:rsidP="00E94BD3">
      <w:pPr>
        <w:spacing w:line="360" w:lineRule="auto"/>
        <w:jc w:val="both"/>
        <w:rPr>
          <w:rFonts w:ascii="Arial" w:hAnsi="Arial" w:cs="Arial"/>
          <w:b/>
          <w:sz w:val="28"/>
          <w:szCs w:val="28"/>
          <w:lang w:val="es-ES_tradnl"/>
        </w:rPr>
      </w:pPr>
      <w:r w:rsidRPr="00C77E81">
        <w:rPr>
          <w:rFonts w:ascii="Arial" w:hAnsi="Arial" w:cs="Arial"/>
          <w:b/>
          <w:sz w:val="28"/>
          <w:szCs w:val="28"/>
          <w:lang w:val="es-ES_tradnl"/>
        </w:rPr>
        <w:t>ASPECTOS GENERALES DEL CURSO (EVALUACIÓN DEL CURSO)</w:t>
      </w:r>
    </w:p>
    <w:p w:rsidR="00E94BD3" w:rsidRPr="004A7635" w:rsidRDefault="00E94BD3" w:rsidP="00E94BD3">
      <w:pPr>
        <w:spacing w:line="360" w:lineRule="auto"/>
        <w:jc w:val="both"/>
        <w:rPr>
          <w:rFonts w:asciiTheme="minorHAnsi" w:hAnsiTheme="minorHAnsi"/>
          <w:b/>
          <w:lang w:val="es-ES_tradnl"/>
        </w:rPr>
      </w:pP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El curso estará estructurado con una parte teórica (12 horas) y otra parte práctica (8 horas), donde los asistentes aplicarán en un estudio de caso y con información sobre un ente público los conocimientos adquiridos durante el curso.</w:t>
      </w:r>
    </w:p>
    <w:p w:rsidR="00E94BD3" w:rsidRPr="002754E6" w:rsidRDefault="00E94BD3" w:rsidP="00E94BD3">
      <w:pPr>
        <w:autoSpaceDE w:val="0"/>
        <w:autoSpaceDN w:val="0"/>
        <w:adjustRightInd w:val="0"/>
        <w:spacing w:line="360" w:lineRule="auto"/>
        <w:ind w:firstLine="708"/>
        <w:jc w:val="both"/>
        <w:rPr>
          <w:rFonts w:ascii="Arial" w:eastAsiaTheme="minorHAnsi" w:hAnsi="Arial" w:cs="Arial"/>
          <w:lang w:val="es-ES_tradnl"/>
        </w:rPr>
      </w:pP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ab/>
        <w:t>El curso está diseñado como una guía paso a paso de tal forma que en todo momento se hace referencia a las disposiciones legales aplicables a la contabilidad gubernamental y</w:t>
      </w:r>
      <w:r w:rsidR="002754E6" w:rsidRPr="002754E6">
        <w:rPr>
          <w:rFonts w:ascii="Arial" w:eastAsiaTheme="minorHAnsi" w:hAnsi="Arial" w:cs="Arial"/>
          <w:lang w:val="es-ES_tradnl"/>
        </w:rPr>
        <w:t xml:space="preserve"> a</w:t>
      </w:r>
      <w:r w:rsidRPr="002754E6">
        <w:rPr>
          <w:rFonts w:ascii="Arial" w:eastAsiaTheme="minorHAnsi" w:hAnsi="Arial" w:cs="Arial"/>
          <w:lang w:val="es-ES_tradnl"/>
        </w:rPr>
        <w:t xml:space="preserve"> su </w:t>
      </w:r>
      <w:r w:rsidR="002754E6" w:rsidRPr="002754E6">
        <w:rPr>
          <w:rFonts w:ascii="Arial" w:eastAsiaTheme="minorHAnsi" w:hAnsi="Arial" w:cs="Arial"/>
          <w:lang w:val="es-ES_tradnl"/>
        </w:rPr>
        <w:t>concretización</w:t>
      </w:r>
      <w:r w:rsidRPr="002754E6">
        <w:rPr>
          <w:rFonts w:ascii="Arial" w:eastAsiaTheme="minorHAnsi" w:hAnsi="Arial" w:cs="Arial"/>
          <w:lang w:val="es-ES_tradnl"/>
        </w:rPr>
        <w:t xml:space="preserve"> práctica </w:t>
      </w:r>
      <w:r w:rsidR="002754E6" w:rsidRPr="002754E6">
        <w:rPr>
          <w:rFonts w:ascii="Arial" w:eastAsiaTheme="minorHAnsi" w:hAnsi="Arial" w:cs="Arial"/>
          <w:lang w:val="es-ES_tradnl"/>
        </w:rPr>
        <w:t>en</w:t>
      </w:r>
      <w:r w:rsidRPr="002754E6">
        <w:rPr>
          <w:rFonts w:ascii="Arial" w:eastAsiaTheme="minorHAnsi" w:hAnsi="Arial" w:cs="Arial"/>
          <w:lang w:val="es-ES_tradnl"/>
        </w:rPr>
        <w:t xml:space="preserve"> la contabilidad de </w:t>
      </w:r>
      <w:r w:rsidR="002754E6" w:rsidRPr="002754E6">
        <w:rPr>
          <w:rFonts w:ascii="Arial" w:eastAsiaTheme="minorHAnsi" w:hAnsi="Arial" w:cs="Arial"/>
          <w:lang w:val="es-ES_tradnl"/>
        </w:rPr>
        <w:t>los</w:t>
      </w:r>
      <w:r w:rsidRPr="002754E6">
        <w:rPr>
          <w:rFonts w:ascii="Arial" w:eastAsiaTheme="minorHAnsi" w:hAnsi="Arial" w:cs="Arial"/>
          <w:lang w:val="es-ES_tradnl"/>
        </w:rPr>
        <w:t xml:space="preserve"> ente</w:t>
      </w:r>
      <w:r w:rsidR="002754E6" w:rsidRPr="002754E6">
        <w:rPr>
          <w:rFonts w:ascii="Arial" w:eastAsiaTheme="minorHAnsi" w:hAnsi="Arial" w:cs="Arial"/>
          <w:lang w:val="es-ES_tradnl"/>
        </w:rPr>
        <w:t>s</w:t>
      </w:r>
      <w:r w:rsidRPr="002754E6">
        <w:rPr>
          <w:rFonts w:ascii="Arial" w:eastAsiaTheme="minorHAnsi" w:hAnsi="Arial" w:cs="Arial"/>
          <w:lang w:val="es-ES_tradnl"/>
        </w:rPr>
        <w:t xml:space="preserve"> público</w:t>
      </w:r>
      <w:r w:rsidR="002754E6" w:rsidRPr="002754E6">
        <w:rPr>
          <w:rFonts w:ascii="Arial" w:eastAsiaTheme="minorHAnsi" w:hAnsi="Arial" w:cs="Arial"/>
          <w:lang w:val="es-ES_tradnl"/>
        </w:rPr>
        <w:t>s</w:t>
      </w:r>
      <w:r w:rsidRPr="002754E6">
        <w:rPr>
          <w:rFonts w:ascii="Arial" w:eastAsiaTheme="minorHAnsi" w:hAnsi="Arial" w:cs="Arial"/>
          <w:lang w:val="es-ES_tradnl"/>
        </w:rPr>
        <w:t>.</w:t>
      </w: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 xml:space="preserve">Se evaluará de manera sistemática a través de: </w:t>
      </w: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Exa</w:t>
      </w:r>
      <w:r w:rsidR="00BE6E1D">
        <w:rPr>
          <w:rFonts w:ascii="Arial" w:eastAsiaTheme="minorHAnsi" w:hAnsi="Arial" w:cs="Arial"/>
          <w:lang w:val="es-ES_tradnl"/>
        </w:rPr>
        <w:t xml:space="preserve">men teórico al final del curso </w:t>
      </w:r>
      <w:r w:rsidRPr="002754E6">
        <w:rPr>
          <w:rFonts w:ascii="Arial" w:eastAsiaTheme="minorHAnsi" w:hAnsi="Arial" w:cs="Arial"/>
          <w:lang w:val="es-ES_tradnl"/>
        </w:rPr>
        <w:t>(30%)</w:t>
      </w:r>
      <w:r w:rsidR="00BE6E1D">
        <w:rPr>
          <w:rFonts w:ascii="Arial" w:eastAsiaTheme="minorHAnsi" w:hAnsi="Arial" w:cs="Arial"/>
          <w:lang w:val="es-ES_tradnl"/>
        </w:rPr>
        <w:t>.</w:t>
      </w: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Actividades de aprendizaje con aplicaciones a casos prácticos, realizadas en ca</w:t>
      </w:r>
      <w:r w:rsidR="00BE6E1D">
        <w:rPr>
          <w:rFonts w:ascii="Arial" w:eastAsiaTheme="minorHAnsi" w:hAnsi="Arial" w:cs="Arial"/>
          <w:lang w:val="es-ES_tradnl"/>
        </w:rPr>
        <w:t>da tema</w:t>
      </w:r>
      <w:r w:rsidRPr="002754E6">
        <w:rPr>
          <w:rFonts w:ascii="Arial" w:eastAsiaTheme="minorHAnsi" w:hAnsi="Arial" w:cs="Arial"/>
          <w:lang w:val="es-ES_tradnl"/>
        </w:rPr>
        <w:t xml:space="preserve"> (70%)</w:t>
      </w:r>
      <w:r w:rsidR="00BE6E1D">
        <w:rPr>
          <w:rFonts w:ascii="Arial" w:eastAsiaTheme="minorHAnsi" w:hAnsi="Arial" w:cs="Arial"/>
          <w:lang w:val="es-ES_tradnl"/>
        </w:rPr>
        <w:t>.</w:t>
      </w: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Para acreditar el programa de estudio cursado, el participante deberá cumplir con:</w:t>
      </w:r>
    </w:p>
    <w:p w:rsidR="00E94BD3" w:rsidRPr="002754E6" w:rsidRDefault="00E94BD3"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Asistencia mínima de 80 %</w:t>
      </w:r>
    </w:p>
    <w:p w:rsidR="00E94BD3" w:rsidRDefault="002754E6" w:rsidP="00E94BD3">
      <w:pPr>
        <w:autoSpaceDE w:val="0"/>
        <w:autoSpaceDN w:val="0"/>
        <w:adjustRightInd w:val="0"/>
        <w:spacing w:line="360" w:lineRule="auto"/>
        <w:jc w:val="both"/>
        <w:rPr>
          <w:rFonts w:ascii="Arial" w:eastAsiaTheme="minorHAnsi" w:hAnsi="Arial" w:cs="Arial"/>
          <w:lang w:val="es-ES_tradnl"/>
        </w:rPr>
      </w:pPr>
      <w:r w:rsidRPr="002754E6">
        <w:rPr>
          <w:rFonts w:ascii="Arial" w:eastAsiaTheme="minorHAnsi" w:hAnsi="Arial" w:cs="Arial"/>
          <w:lang w:val="es-ES_tradnl"/>
        </w:rPr>
        <w:t>Una c</w:t>
      </w:r>
      <w:r w:rsidR="00BE6E1D">
        <w:rPr>
          <w:rFonts w:ascii="Arial" w:eastAsiaTheme="minorHAnsi" w:hAnsi="Arial" w:cs="Arial"/>
          <w:lang w:val="es-ES_tradnl"/>
        </w:rPr>
        <w:t>alificación no menor de ocho (8</w:t>
      </w:r>
      <w:r w:rsidRPr="002754E6">
        <w:rPr>
          <w:rFonts w:ascii="Arial" w:eastAsiaTheme="minorHAnsi" w:hAnsi="Arial" w:cs="Arial"/>
          <w:lang w:val="es-ES_tradnl"/>
        </w:rPr>
        <w:t>.0)</w:t>
      </w:r>
    </w:p>
    <w:p w:rsidR="002754E6" w:rsidRPr="002754E6" w:rsidRDefault="002754E6" w:rsidP="00E94BD3">
      <w:pPr>
        <w:autoSpaceDE w:val="0"/>
        <w:autoSpaceDN w:val="0"/>
        <w:adjustRightInd w:val="0"/>
        <w:spacing w:line="360" w:lineRule="auto"/>
        <w:jc w:val="both"/>
        <w:rPr>
          <w:rFonts w:ascii="Arial" w:eastAsiaTheme="minorHAnsi" w:hAnsi="Arial" w:cs="Arial"/>
          <w:lang w:val="es-ES_tradnl"/>
        </w:rPr>
      </w:pPr>
    </w:p>
    <w:p w:rsidR="002754E6" w:rsidRDefault="002754E6" w:rsidP="002754E6">
      <w:pPr>
        <w:rPr>
          <w:sz w:val="28"/>
          <w:szCs w:val="28"/>
          <w:lang w:val="es-MX"/>
        </w:rPr>
      </w:pPr>
      <w:r w:rsidRPr="002754E6">
        <w:rPr>
          <w:sz w:val="28"/>
          <w:szCs w:val="28"/>
          <w:lang w:val="es-MX"/>
        </w:rPr>
        <w:t>Sede:</w:t>
      </w:r>
      <w:r w:rsidRPr="002754E6">
        <w:rPr>
          <w:sz w:val="28"/>
          <w:szCs w:val="28"/>
          <w:lang w:val="es-MX"/>
        </w:rPr>
        <w:tab/>
      </w:r>
      <w:r>
        <w:rPr>
          <w:sz w:val="28"/>
          <w:szCs w:val="28"/>
          <w:lang w:val="es-MX"/>
        </w:rPr>
        <w:t>IPN – CENTRO DE EDUCACIÓN CONTINUA UNIDAD MAZATLÁN</w:t>
      </w:r>
    </w:p>
    <w:p w:rsidR="00E94BD3" w:rsidRDefault="00E94BD3" w:rsidP="00E94BD3">
      <w:pPr>
        <w:autoSpaceDE w:val="0"/>
        <w:autoSpaceDN w:val="0"/>
        <w:adjustRightInd w:val="0"/>
        <w:spacing w:line="360" w:lineRule="auto"/>
        <w:jc w:val="both"/>
        <w:rPr>
          <w:rFonts w:asciiTheme="minorHAnsi" w:eastAsiaTheme="minorHAnsi" w:hAnsiTheme="minorHAnsi" w:cs="Helvetica"/>
          <w:lang w:val="es-MX"/>
        </w:rPr>
      </w:pPr>
    </w:p>
    <w:p w:rsidR="00BB4E44" w:rsidRDefault="00BB4E44" w:rsidP="00E94BD3">
      <w:pPr>
        <w:autoSpaceDE w:val="0"/>
        <w:autoSpaceDN w:val="0"/>
        <w:adjustRightInd w:val="0"/>
        <w:spacing w:line="360" w:lineRule="auto"/>
        <w:jc w:val="both"/>
        <w:rPr>
          <w:rFonts w:asciiTheme="minorHAnsi" w:eastAsiaTheme="minorHAnsi" w:hAnsiTheme="minorHAnsi" w:cs="Helvetica"/>
          <w:lang w:val="es-MX"/>
        </w:rPr>
      </w:pPr>
    </w:p>
    <w:p w:rsidR="00BB4E44" w:rsidRDefault="00BB4E44" w:rsidP="00E94BD3">
      <w:pPr>
        <w:autoSpaceDE w:val="0"/>
        <w:autoSpaceDN w:val="0"/>
        <w:adjustRightInd w:val="0"/>
        <w:spacing w:line="360" w:lineRule="auto"/>
        <w:jc w:val="both"/>
        <w:rPr>
          <w:rFonts w:asciiTheme="minorHAnsi" w:eastAsiaTheme="minorHAnsi" w:hAnsiTheme="minorHAnsi" w:cs="Helvetica"/>
          <w:lang w:val="es-MX"/>
        </w:rPr>
      </w:pPr>
    </w:p>
    <w:p w:rsidR="00BB4E44" w:rsidRDefault="00BB4E44" w:rsidP="00E94BD3">
      <w:pPr>
        <w:autoSpaceDE w:val="0"/>
        <w:autoSpaceDN w:val="0"/>
        <w:adjustRightInd w:val="0"/>
        <w:spacing w:line="360" w:lineRule="auto"/>
        <w:jc w:val="both"/>
        <w:rPr>
          <w:rFonts w:asciiTheme="minorHAnsi" w:eastAsiaTheme="minorHAnsi" w:hAnsiTheme="minorHAnsi" w:cs="Helvetica"/>
          <w:lang w:val="es-MX"/>
        </w:rPr>
      </w:pPr>
    </w:p>
    <w:p w:rsidR="00BB4E44" w:rsidRPr="002754E6" w:rsidRDefault="00BB4E44" w:rsidP="00E94BD3">
      <w:pPr>
        <w:autoSpaceDE w:val="0"/>
        <w:autoSpaceDN w:val="0"/>
        <w:adjustRightInd w:val="0"/>
        <w:spacing w:line="360" w:lineRule="auto"/>
        <w:jc w:val="both"/>
        <w:rPr>
          <w:rFonts w:asciiTheme="minorHAnsi" w:eastAsiaTheme="minorHAnsi" w:hAnsiTheme="minorHAnsi" w:cs="Helvetica"/>
          <w:lang w:val="es-MX"/>
        </w:rPr>
      </w:pPr>
    </w:p>
    <w:p w:rsidR="00BB4E44" w:rsidRDefault="00BB4E44" w:rsidP="0047612E">
      <w:pPr>
        <w:pStyle w:val="TtulodeTDC"/>
        <w:rPr>
          <w:rFonts w:ascii="Arial" w:hAnsi="Arial" w:cs="Arial"/>
          <w:color w:val="auto"/>
          <w:szCs w:val="28"/>
          <w:lang w:val="es-MX"/>
        </w:rPr>
      </w:pPr>
    </w:p>
    <w:p w:rsidR="00BB4E44" w:rsidRDefault="00BB4E44" w:rsidP="0047612E">
      <w:pPr>
        <w:pStyle w:val="TtulodeTDC"/>
        <w:rPr>
          <w:rFonts w:ascii="Arial" w:hAnsi="Arial" w:cs="Arial"/>
          <w:color w:val="auto"/>
          <w:szCs w:val="28"/>
          <w:lang w:val="es-MX"/>
        </w:rPr>
      </w:pPr>
    </w:p>
    <w:p w:rsidR="00BB4E44" w:rsidRDefault="00BB4E44" w:rsidP="0047612E">
      <w:pPr>
        <w:pStyle w:val="TtulodeTDC"/>
        <w:rPr>
          <w:rFonts w:ascii="Arial" w:hAnsi="Arial" w:cs="Arial"/>
          <w:color w:val="auto"/>
          <w:szCs w:val="28"/>
          <w:lang w:val="es-MX"/>
        </w:rPr>
      </w:pPr>
    </w:p>
    <w:p w:rsidR="00AE6480" w:rsidRPr="002754E6" w:rsidRDefault="002754E6" w:rsidP="00C77E81">
      <w:pPr>
        <w:pStyle w:val="TtulodeTDC"/>
        <w:jc w:val="center"/>
        <w:rPr>
          <w:rFonts w:ascii="Arial" w:hAnsi="Arial" w:cs="Arial"/>
          <w:color w:val="auto"/>
          <w:szCs w:val="28"/>
          <w:lang w:val="es-MX"/>
        </w:rPr>
      </w:pPr>
      <w:r>
        <w:rPr>
          <w:rFonts w:ascii="Arial" w:hAnsi="Arial" w:cs="Arial"/>
          <w:color w:val="auto"/>
          <w:szCs w:val="28"/>
          <w:lang w:val="es-MX"/>
        </w:rPr>
        <w:t>OBJETIVO GENERAL</w:t>
      </w:r>
    </w:p>
    <w:p w:rsidR="00AE6480" w:rsidRDefault="00AE6480" w:rsidP="00F326DE">
      <w:pPr>
        <w:pStyle w:val="Ttulo"/>
        <w:spacing w:line="360" w:lineRule="auto"/>
        <w:rPr>
          <w:b w:val="0"/>
          <w:sz w:val="22"/>
          <w:szCs w:val="22"/>
          <w:lang w:val="es-ES_tradnl"/>
        </w:rPr>
      </w:pPr>
    </w:p>
    <w:p w:rsidR="00AE6480" w:rsidRDefault="00AE6480" w:rsidP="00F928EC">
      <w:pPr>
        <w:spacing w:line="276" w:lineRule="auto"/>
        <w:jc w:val="both"/>
      </w:pPr>
      <w:r w:rsidRPr="00326753">
        <w:rPr>
          <w:rFonts w:cs="Calibri"/>
          <w:sz w:val="28"/>
          <w:szCs w:val="28"/>
          <w:lang w:val="es-ES_tradnl"/>
        </w:rPr>
        <w:t xml:space="preserve">Al término del curso el participante, </w:t>
      </w:r>
      <w:r w:rsidR="003D64DE">
        <w:rPr>
          <w:rFonts w:cs="Calibri"/>
          <w:sz w:val="28"/>
          <w:szCs w:val="28"/>
          <w:lang w:val="es-ES_tradnl"/>
        </w:rPr>
        <w:t>identificará los elementos que comprenden los esquemas modernos y armonizados, con la finalidad de propiciar el desarrollo y fortalecimiento de sistemas contables, que incluyan la correcta descripción del patrimonio, faciliten la fiscalización y consolidación, la administración financiera y la generación de cuentas públicas compatibles con la administración pública.</w:t>
      </w:r>
    </w:p>
    <w:p w:rsidR="00AE6480" w:rsidRDefault="00AE6480" w:rsidP="00F326DE">
      <w:pPr>
        <w:pStyle w:val="Ttulo"/>
        <w:spacing w:line="360" w:lineRule="auto"/>
        <w:rPr>
          <w:b w:val="0"/>
          <w:sz w:val="32"/>
          <w:szCs w:val="32"/>
        </w:rPr>
      </w:pPr>
    </w:p>
    <w:p w:rsidR="00C77E81" w:rsidRDefault="00C77E81" w:rsidP="00F326DE">
      <w:pPr>
        <w:pStyle w:val="Ttulo"/>
        <w:spacing w:line="360" w:lineRule="auto"/>
        <w:rPr>
          <w:b w:val="0"/>
          <w:sz w:val="32"/>
          <w:szCs w:val="32"/>
        </w:rPr>
      </w:pPr>
    </w:p>
    <w:p w:rsidR="00C77E81" w:rsidRPr="00F928EC" w:rsidRDefault="00C77E81" w:rsidP="00F326DE">
      <w:pPr>
        <w:pStyle w:val="Ttulo"/>
        <w:spacing w:line="360" w:lineRule="auto"/>
        <w:rPr>
          <w:b w:val="0"/>
          <w:sz w:val="32"/>
          <w:szCs w:val="32"/>
        </w:rPr>
      </w:pPr>
    </w:p>
    <w:p w:rsidR="00AE6480" w:rsidRPr="00BB4E44" w:rsidRDefault="001402C5" w:rsidP="00C77E81">
      <w:pPr>
        <w:jc w:val="center"/>
        <w:rPr>
          <w:rFonts w:ascii="Arial" w:hAnsi="Arial" w:cs="Arial"/>
          <w:b/>
          <w:sz w:val="28"/>
          <w:szCs w:val="28"/>
          <w:lang w:val="es-MX"/>
        </w:rPr>
      </w:pPr>
      <w:r>
        <w:rPr>
          <w:rFonts w:ascii="Arial" w:hAnsi="Arial" w:cs="Arial"/>
          <w:b/>
          <w:sz w:val="28"/>
          <w:szCs w:val="28"/>
          <w:lang w:val="es-MX"/>
        </w:rPr>
        <w:t>OBJETIVOS ESPECÍ</w:t>
      </w:r>
      <w:r w:rsidR="00BB4E44" w:rsidRPr="00BB4E44">
        <w:rPr>
          <w:rFonts w:ascii="Arial" w:hAnsi="Arial" w:cs="Arial"/>
          <w:b/>
          <w:sz w:val="28"/>
          <w:szCs w:val="28"/>
          <w:lang w:val="es-MX"/>
        </w:rPr>
        <w:t>FICOS</w:t>
      </w:r>
    </w:p>
    <w:p w:rsidR="00AE6480" w:rsidRDefault="00AE6480">
      <w:pPr>
        <w:rPr>
          <w:lang w:val="es-MX"/>
        </w:rPr>
      </w:pPr>
    </w:p>
    <w:p w:rsidR="00AE6480" w:rsidRPr="00C77E81" w:rsidRDefault="00AE6480">
      <w:pPr>
        <w:rPr>
          <w:b/>
          <w:lang w:val="es-MX"/>
        </w:rPr>
      </w:pPr>
    </w:p>
    <w:p w:rsidR="00AE6480" w:rsidRPr="00C77E81" w:rsidRDefault="00BB4E44" w:rsidP="00C77E81">
      <w:pPr>
        <w:spacing w:line="360" w:lineRule="auto"/>
        <w:jc w:val="both"/>
        <w:rPr>
          <w:rFonts w:ascii="Arial" w:hAnsi="Arial" w:cs="Arial"/>
          <w:lang w:val="es-MX"/>
        </w:rPr>
      </w:pPr>
      <w:r w:rsidRPr="00C77E81">
        <w:rPr>
          <w:rFonts w:ascii="Arial" w:hAnsi="Arial" w:cs="Arial"/>
          <w:b/>
          <w:lang w:val="es-MX"/>
        </w:rPr>
        <w:t>MODULO 1.-</w:t>
      </w:r>
      <w:r w:rsidRPr="00C77E81">
        <w:rPr>
          <w:rFonts w:ascii="Arial" w:hAnsi="Arial" w:cs="Arial"/>
          <w:lang w:val="es-MX"/>
        </w:rPr>
        <w:t xml:space="preserve">  Conocer y aplicar los fundamentos legales y las disposiciones </w:t>
      </w:r>
      <w:r w:rsidR="00C77E81">
        <w:rPr>
          <w:rFonts w:ascii="Arial" w:hAnsi="Arial" w:cs="Arial"/>
          <w:lang w:val="es-MX"/>
        </w:rPr>
        <w:t xml:space="preserve">normativas </w:t>
      </w:r>
      <w:r w:rsidRPr="00C77E81">
        <w:rPr>
          <w:rFonts w:ascii="Arial" w:hAnsi="Arial" w:cs="Arial"/>
          <w:lang w:val="es-MX"/>
        </w:rPr>
        <w:t>emitidas para la Armonización contable de los entes públicos.</w:t>
      </w:r>
    </w:p>
    <w:p w:rsidR="00BB4E44" w:rsidRPr="00C77E81" w:rsidRDefault="00BB4E44" w:rsidP="00C77E81">
      <w:pPr>
        <w:spacing w:line="360" w:lineRule="auto"/>
        <w:jc w:val="both"/>
        <w:rPr>
          <w:rFonts w:ascii="Arial" w:hAnsi="Arial" w:cs="Arial"/>
          <w:lang w:val="es-MX"/>
        </w:rPr>
      </w:pPr>
    </w:p>
    <w:p w:rsidR="00BB4E44" w:rsidRPr="00C77E81" w:rsidRDefault="00BB4E44" w:rsidP="00C77E81">
      <w:pPr>
        <w:spacing w:line="360" w:lineRule="auto"/>
        <w:jc w:val="both"/>
        <w:rPr>
          <w:rFonts w:ascii="Arial" w:hAnsi="Arial" w:cs="Arial"/>
          <w:lang w:val="es-MX"/>
        </w:rPr>
      </w:pPr>
      <w:r w:rsidRPr="00C77E81">
        <w:rPr>
          <w:rFonts w:ascii="Arial" w:hAnsi="Arial" w:cs="Arial"/>
          <w:b/>
          <w:lang w:val="es-MX"/>
        </w:rPr>
        <w:t>MODULO 2.-</w:t>
      </w:r>
      <w:r w:rsidRPr="00C77E81">
        <w:rPr>
          <w:rFonts w:ascii="Arial" w:hAnsi="Arial" w:cs="Arial"/>
          <w:lang w:val="es-MX"/>
        </w:rPr>
        <w:t xml:space="preserve">  Capacitar a los participantes en la construcción de la contabilidad gubernamental de los entes p</w:t>
      </w:r>
      <w:r w:rsidR="00C77E81" w:rsidRPr="00C77E81">
        <w:rPr>
          <w:rFonts w:ascii="Arial" w:hAnsi="Arial" w:cs="Arial"/>
          <w:lang w:val="es-MX"/>
        </w:rPr>
        <w:t>úblicos, así como en la preparación de la Informaci</w:t>
      </w:r>
      <w:r w:rsidR="00C77E81">
        <w:rPr>
          <w:rFonts w:ascii="Arial" w:hAnsi="Arial" w:cs="Arial"/>
          <w:lang w:val="es-MX"/>
        </w:rPr>
        <w:t xml:space="preserve">ón financiera con base en la </w:t>
      </w:r>
      <w:r w:rsidR="00C77E81" w:rsidRPr="00C77E81">
        <w:rPr>
          <w:rFonts w:ascii="Arial" w:hAnsi="Arial" w:cs="Arial"/>
          <w:lang w:val="es-MX"/>
        </w:rPr>
        <w:t>normatividad emitida por el Consejo Nacional de Armonización Contable.</w:t>
      </w:r>
    </w:p>
    <w:p w:rsidR="00AE6480" w:rsidRDefault="00AE6480" w:rsidP="00C77E81">
      <w:pPr>
        <w:spacing w:line="360" w:lineRule="auto"/>
        <w:jc w:val="both"/>
        <w:rPr>
          <w:rFonts w:ascii="Arial" w:hAnsi="Arial" w:cs="Arial"/>
          <w:lang w:val="es-MX"/>
        </w:rPr>
      </w:pPr>
    </w:p>
    <w:p w:rsidR="00AE6480" w:rsidRPr="00C77E81" w:rsidRDefault="00C77E81" w:rsidP="00C77E81">
      <w:pPr>
        <w:spacing w:line="360" w:lineRule="auto"/>
        <w:jc w:val="both"/>
        <w:rPr>
          <w:rFonts w:ascii="Arial" w:hAnsi="Arial" w:cs="Arial"/>
          <w:lang w:val="es-MX"/>
        </w:rPr>
      </w:pPr>
      <w:r w:rsidRPr="00C77E81">
        <w:rPr>
          <w:rFonts w:ascii="Arial" w:hAnsi="Arial" w:cs="Arial"/>
          <w:b/>
          <w:lang w:val="es-MX"/>
        </w:rPr>
        <w:t>MODULO 3.-</w:t>
      </w:r>
      <w:r>
        <w:rPr>
          <w:rFonts w:ascii="Arial" w:hAnsi="Arial" w:cs="Arial"/>
          <w:lang w:val="es-MX"/>
        </w:rPr>
        <w:t xml:space="preserve"> Identificar y aplicar las disposiciones emitidas por el CONAC para la elaboración del Manual de Contabilidad Gubernamental.</w:t>
      </w:r>
    </w:p>
    <w:p w:rsidR="00AE6480" w:rsidRPr="00C77E81" w:rsidRDefault="00AE6480" w:rsidP="00C77E81">
      <w:pPr>
        <w:spacing w:line="360" w:lineRule="auto"/>
        <w:jc w:val="both"/>
        <w:rPr>
          <w:rFonts w:ascii="Arial" w:hAnsi="Arial" w:cs="Arial"/>
          <w:lang w:val="es-MX"/>
        </w:rPr>
      </w:pPr>
    </w:p>
    <w:p w:rsidR="00AE6480" w:rsidRPr="00C77E81" w:rsidRDefault="00AE6480" w:rsidP="00C77E81">
      <w:pPr>
        <w:spacing w:line="360" w:lineRule="auto"/>
        <w:jc w:val="both"/>
        <w:rPr>
          <w:rFonts w:ascii="Arial" w:hAnsi="Arial" w:cs="Arial"/>
          <w:lang w:val="es-MX"/>
        </w:rPr>
      </w:pPr>
    </w:p>
    <w:p w:rsidR="00306E45" w:rsidRDefault="00306E45" w:rsidP="00C77E81">
      <w:pPr>
        <w:jc w:val="center"/>
        <w:rPr>
          <w:rFonts w:ascii="Arial" w:hAnsi="Arial" w:cs="Arial"/>
          <w:b/>
          <w:sz w:val="28"/>
          <w:szCs w:val="28"/>
          <w:lang w:val="es-MX"/>
        </w:rPr>
      </w:pPr>
    </w:p>
    <w:p w:rsidR="00306E45" w:rsidRDefault="00306E45" w:rsidP="00C77E81">
      <w:pPr>
        <w:jc w:val="center"/>
        <w:rPr>
          <w:rFonts w:ascii="Arial" w:hAnsi="Arial" w:cs="Arial"/>
          <w:b/>
          <w:sz w:val="28"/>
          <w:szCs w:val="28"/>
          <w:lang w:val="es-MX"/>
        </w:rPr>
      </w:pPr>
    </w:p>
    <w:p w:rsidR="00306E45" w:rsidRDefault="00306E45" w:rsidP="00C77E81">
      <w:pPr>
        <w:jc w:val="center"/>
        <w:rPr>
          <w:rFonts w:ascii="Arial" w:hAnsi="Arial" w:cs="Arial"/>
          <w:b/>
          <w:sz w:val="28"/>
          <w:szCs w:val="28"/>
          <w:lang w:val="es-MX"/>
        </w:rPr>
      </w:pPr>
    </w:p>
    <w:p w:rsidR="000324A9" w:rsidRDefault="000324A9" w:rsidP="00C77E81">
      <w:pPr>
        <w:jc w:val="center"/>
        <w:rPr>
          <w:rFonts w:ascii="Arial" w:hAnsi="Arial" w:cs="Arial"/>
          <w:b/>
          <w:sz w:val="28"/>
          <w:szCs w:val="28"/>
          <w:lang w:val="es-MX"/>
        </w:rPr>
      </w:pPr>
    </w:p>
    <w:p w:rsidR="000324A9" w:rsidRDefault="000324A9" w:rsidP="00C77E81">
      <w:pPr>
        <w:jc w:val="center"/>
        <w:rPr>
          <w:rFonts w:ascii="Arial" w:hAnsi="Arial" w:cs="Arial"/>
          <w:b/>
          <w:sz w:val="28"/>
          <w:szCs w:val="28"/>
          <w:lang w:val="es-MX"/>
        </w:rPr>
      </w:pPr>
    </w:p>
    <w:p w:rsidR="00AE6480" w:rsidRPr="00C77E81" w:rsidRDefault="001402C5" w:rsidP="00C77E81">
      <w:pPr>
        <w:jc w:val="center"/>
        <w:rPr>
          <w:rFonts w:ascii="Arial" w:hAnsi="Arial" w:cs="Arial"/>
          <w:b/>
          <w:sz w:val="28"/>
          <w:szCs w:val="28"/>
          <w:lang w:val="es-MX"/>
        </w:rPr>
      </w:pPr>
      <w:r>
        <w:rPr>
          <w:rFonts w:ascii="Arial" w:hAnsi="Arial" w:cs="Arial"/>
          <w:b/>
          <w:sz w:val="28"/>
          <w:szCs w:val="28"/>
          <w:lang w:val="es-MX"/>
        </w:rPr>
        <w:t>INTRODUCCIÓ</w:t>
      </w:r>
      <w:r w:rsidR="00C77E81" w:rsidRPr="00C77E81">
        <w:rPr>
          <w:rFonts w:ascii="Arial" w:hAnsi="Arial" w:cs="Arial"/>
          <w:b/>
          <w:sz w:val="28"/>
          <w:szCs w:val="28"/>
          <w:lang w:val="es-MX"/>
        </w:rPr>
        <w:t>N</w:t>
      </w:r>
    </w:p>
    <w:p w:rsidR="00C77E81" w:rsidRDefault="00C77E81" w:rsidP="00C77E81">
      <w:pPr>
        <w:jc w:val="center"/>
        <w:rPr>
          <w:lang w:val="es-MX"/>
        </w:rPr>
      </w:pPr>
    </w:p>
    <w:p w:rsidR="00CC7A7B" w:rsidRDefault="00CC7A7B">
      <w:pPr>
        <w:rPr>
          <w:lang w:val="es-MX"/>
        </w:rPr>
      </w:pPr>
    </w:p>
    <w:p w:rsidR="00AB5514" w:rsidRPr="00367B3C" w:rsidRDefault="00F97FF2" w:rsidP="00367B3C">
      <w:pPr>
        <w:spacing w:line="360" w:lineRule="auto"/>
        <w:jc w:val="both"/>
        <w:rPr>
          <w:rFonts w:ascii="Arial" w:hAnsi="Arial" w:cs="Arial"/>
          <w:lang w:val="es-MX"/>
        </w:rPr>
      </w:pPr>
      <w:r w:rsidRPr="00367B3C">
        <w:rPr>
          <w:rFonts w:ascii="Arial" w:hAnsi="Arial" w:cs="Arial"/>
          <w:lang w:val="es-MX"/>
        </w:rPr>
        <w:t>Con la aprobación por parte del Congreso de la Unión de la fracción XXVIII del Artículo 73 Constitucional, se otorgó la facultad al Poder Legislativo para expedir leyes que regulen la práctica contable en los tres órdenes de gobierno, estableciendo con ello, las bases jurídicas para la armonización contable y de sus cuentas públicas.</w:t>
      </w:r>
    </w:p>
    <w:p w:rsidR="00AB5514" w:rsidRPr="00367B3C" w:rsidRDefault="00AB5514" w:rsidP="00367B3C">
      <w:pPr>
        <w:spacing w:line="360" w:lineRule="auto"/>
        <w:jc w:val="both"/>
        <w:rPr>
          <w:rFonts w:ascii="Arial" w:hAnsi="Arial" w:cs="Arial"/>
          <w:lang w:val="es-MX"/>
        </w:rPr>
      </w:pPr>
    </w:p>
    <w:p w:rsidR="00F97FF2" w:rsidRPr="00367B3C" w:rsidRDefault="00F97FF2" w:rsidP="00367B3C">
      <w:pPr>
        <w:spacing w:line="360" w:lineRule="auto"/>
        <w:jc w:val="both"/>
        <w:rPr>
          <w:rFonts w:ascii="Arial" w:hAnsi="Arial" w:cs="Arial"/>
          <w:lang w:val="es-MX"/>
        </w:rPr>
      </w:pPr>
      <w:r w:rsidRPr="00367B3C">
        <w:rPr>
          <w:rFonts w:ascii="Arial" w:hAnsi="Arial" w:cs="Arial"/>
          <w:lang w:val="es-MX"/>
        </w:rPr>
        <w:t>Con base en lo anterior, 1 de enero</w:t>
      </w:r>
      <w:r w:rsidR="00AB5514" w:rsidRPr="00367B3C">
        <w:rPr>
          <w:rFonts w:ascii="Arial" w:hAnsi="Arial" w:cs="Arial"/>
          <w:lang w:val="es-MX"/>
        </w:rPr>
        <w:t xml:space="preserve"> de 2009</w:t>
      </w:r>
      <w:r w:rsidRPr="00367B3C">
        <w:rPr>
          <w:rFonts w:ascii="Arial" w:hAnsi="Arial" w:cs="Arial"/>
          <w:lang w:val="es-MX"/>
        </w:rPr>
        <w:t xml:space="preserve"> entró en vigor la Ley General de Contabilidad Gubernamental, la cual, contempla como principal objetivo establecer los criterios generales que regirán la contabilidad gubernamental y la emisión de información financiera de los entes públicos para lograr su adecuada armonización. En su Artículo Segundo Transitorio se establece la instalación de un Consejo Nacional de Armonización Contable, que será el órgano de coordinación para la armonización de la contabilidad gubernamental.</w:t>
      </w:r>
    </w:p>
    <w:p w:rsidR="00AB5514" w:rsidRPr="00367B3C" w:rsidRDefault="00AB5514" w:rsidP="00367B3C">
      <w:pPr>
        <w:spacing w:line="360" w:lineRule="auto"/>
        <w:jc w:val="both"/>
        <w:rPr>
          <w:rFonts w:ascii="Arial" w:hAnsi="Arial" w:cs="Arial"/>
          <w:lang w:val="es-MX"/>
        </w:rPr>
      </w:pPr>
    </w:p>
    <w:p w:rsidR="00F97FF2" w:rsidRPr="00367B3C" w:rsidRDefault="00F97FF2" w:rsidP="00367B3C">
      <w:pPr>
        <w:spacing w:line="360" w:lineRule="auto"/>
        <w:jc w:val="both"/>
        <w:rPr>
          <w:rFonts w:ascii="Arial" w:hAnsi="Arial" w:cs="Arial"/>
          <w:lang w:val="es-MX"/>
        </w:rPr>
      </w:pPr>
      <w:r w:rsidRPr="00367B3C">
        <w:rPr>
          <w:rFonts w:ascii="Arial" w:hAnsi="Arial" w:cs="Arial"/>
          <w:lang w:val="es-MX"/>
        </w:rPr>
        <w:t>La nueva Ley y el Consejo se erigen en el pilar fundamental de la armonización contable y la emisión de información financiera, con la finalidad de contar con información homogénea de las finanzas públicas, que sea factible de ser comparada y analizada bajo criterios comunes, facilitando el escrutinio público y las tareas de fiscalización.</w:t>
      </w:r>
    </w:p>
    <w:p w:rsidR="00AB5514" w:rsidRPr="00367B3C" w:rsidRDefault="00AB5514" w:rsidP="00367B3C">
      <w:pPr>
        <w:spacing w:line="360" w:lineRule="auto"/>
        <w:jc w:val="both"/>
        <w:rPr>
          <w:rFonts w:ascii="Arial" w:hAnsi="Arial" w:cs="Arial"/>
          <w:lang w:val="es-MX"/>
        </w:rPr>
      </w:pPr>
    </w:p>
    <w:p w:rsidR="00F97FF2" w:rsidRPr="00367B3C" w:rsidRDefault="00F97FF2" w:rsidP="00367B3C">
      <w:pPr>
        <w:spacing w:line="360" w:lineRule="auto"/>
        <w:jc w:val="both"/>
        <w:rPr>
          <w:rFonts w:ascii="Arial" w:hAnsi="Arial" w:cs="Arial"/>
          <w:lang w:val="es-MX"/>
        </w:rPr>
      </w:pPr>
      <w:r w:rsidRPr="00367B3C">
        <w:rPr>
          <w:rFonts w:ascii="Arial" w:hAnsi="Arial" w:cs="Arial"/>
          <w:lang w:val="es-MX"/>
        </w:rPr>
        <w:t xml:space="preserve">En el marco de la Ley, el Titular de la Unidad de Contabilidad Gubernamental e Informes sobre la Gestión Pública de la Secretaría de Hacienda y Crédito Público </w:t>
      </w:r>
      <w:r w:rsidR="00367B3C" w:rsidRPr="00367B3C">
        <w:rPr>
          <w:rFonts w:ascii="Arial" w:hAnsi="Arial" w:cs="Arial"/>
          <w:lang w:val="es-MX"/>
        </w:rPr>
        <w:t>es quien ha fungido</w:t>
      </w:r>
      <w:r w:rsidRPr="00367B3C">
        <w:rPr>
          <w:rFonts w:ascii="Arial" w:hAnsi="Arial" w:cs="Arial"/>
          <w:lang w:val="es-MX"/>
        </w:rPr>
        <w:t xml:space="preserve"> como Secretario Técnico del Consejo a fin de armonizar los modelos contables vigentes a nivel nacional.</w:t>
      </w:r>
    </w:p>
    <w:p w:rsidR="00CC7A7B" w:rsidRDefault="00CC7A7B" w:rsidP="00367B3C">
      <w:pPr>
        <w:spacing w:line="360" w:lineRule="auto"/>
        <w:jc w:val="both"/>
        <w:rPr>
          <w:rFonts w:ascii="Arial" w:hAnsi="Arial" w:cs="Arial"/>
          <w:lang w:val="es-MX"/>
        </w:rPr>
      </w:pPr>
    </w:p>
    <w:p w:rsidR="001402C5" w:rsidRDefault="001402C5" w:rsidP="00367B3C">
      <w:pPr>
        <w:spacing w:line="360" w:lineRule="auto"/>
        <w:jc w:val="both"/>
        <w:rPr>
          <w:rFonts w:ascii="Arial" w:hAnsi="Arial" w:cs="Arial"/>
          <w:lang w:val="es-MX"/>
        </w:rPr>
      </w:pPr>
    </w:p>
    <w:p w:rsidR="001402C5" w:rsidRPr="00367B3C" w:rsidRDefault="001402C5" w:rsidP="00367B3C">
      <w:pPr>
        <w:spacing w:line="360" w:lineRule="auto"/>
        <w:jc w:val="both"/>
        <w:rPr>
          <w:rFonts w:ascii="Arial" w:hAnsi="Arial" w:cs="Arial"/>
          <w:lang w:val="es-MX"/>
        </w:rPr>
      </w:pPr>
    </w:p>
    <w:p w:rsidR="00CC7A7B" w:rsidRPr="00367B3C" w:rsidRDefault="00CC7A7B" w:rsidP="00367B3C">
      <w:pPr>
        <w:spacing w:line="360" w:lineRule="auto"/>
        <w:jc w:val="both"/>
        <w:rPr>
          <w:rFonts w:ascii="Arial" w:hAnsi="Arial" w:cs="Arial"/>
          <w:lang w:val="es-MX"/>
        </w:rPr>
      </w:pPr>
    </w:p>
    <w:p w:rsidR="00306E45" w:rsidRDefault="00306E45">
      <w:pPr>
        <w:rPr>
          <w:lang w:val="es-MX"/>
        </w:rPr>
      </w:pPr>
    </w:p>
    <w:p w:rsidR="00AE6480" w:rsidRPr="00C77E81" w:rsidRDefault="00AB5514" w:rsidP="00C77E81">
      <w:pPr>
        <w:jc w:val="center"/>
        <w:rPr>
          <w:rFonts w:ascii="Arial" w:hAnsi="Arial" w:cs="Arial"/>
          <w:b/>
          <w:sz w:val="28"/>
          <w:szCs w:val="28"/>
          <w:lang w:val="es-MX"/>
        </w:rPr>
      </w:pPr>
      <w:r>
        <w:rPr>
          <w:rFonts w:ascii="Arial" w:hAnsi="Arial" w:cs="Arial"/>
          <w:b/>
          <w:sz w:val="28"/>
          <w:szCs w:val="28"/>
          <w:lang w:val="es-MX"/>
        </w:rPr>
        <w:t>T</w:t>
      </w:r>
      <w:r w:rsidR="00C77E81" w:rsidRPr="00C77E81">
        <w:rPr>
          <w:rFonts w:ascii="Arial" w:hAnsi="Arial" w:cs="Arial"/>
          <w:b/>
          <w:sz w:val="28"/>
          <w:szCs w:val="28"/>
          <w:lang w:val="es-MX"/>
        </w:rPr>
        <w:t>EMAS Y SUBTEMAS</w:t>
      </w:r>
    </w:p>
    <w:p w:rsidR="00AE6480" w:rsidRPr="004A6479" w:rsidRDefault="00AE6480" w:rsidP="00B07490">
      <w:pPr>
        <w:pStyle w:val="Ttulo2"/>
        <w:jc w:val="both"/>
      </w:pPr>
      <w:r w:rsidRPr="00B07490">
        <w:rPr>
          <w:sz w:val="28"/>
        </w:rPr>
        <w:t>1.</w:t>
      </w:r>
      <w:r w:rsidRPr="00B07490">
        <w:rPr>
          <w:sz w:val="28"/>
        </w:rPr>
        <w:tab/>
      </w:r>
      <w:r w:rsidR="00B07490" w:rsidRPr="00B07490">
        <w:rPr>
          <w:sz w:val="28"/>
        </w:rPr>
        <w:t xml:space="preserve">FUNDAMENTOS Y BASES </w:t>
      </w:r>
      <w:r w:rsidR="001402C5">
        <w:rPr>
          <w:sz w:val="28"/>
        </w:rPr>
        <w:t>PARA LA ARMONIZACIÓ</w:t>
      </w:r>
      <w:r w:rsidR="00B07490" w:rsidRPr="00B07490">
        <w:rPr>
          <w:sz w:val="28"/>
        </w:rPr>
        <w:t>N</w:t>
      </w:r>
      <w:r w:rsidR="00B07490">
        <w:t xml:space="preserve"> CONTABLE</w:t>
      </w:r>
    </w:p>
    <w:p w:rsidR="00AE6480" w:rsidRPr="004A6479" w:rsidRDefault="00AE6480" w:rsidP="004A6479">
      <w:pPr>
        <w:rPr>
          <w:rFonts w:ascii="Cambria" w:hAnsi="Cambria"/>
          <w:lang w:val="es-MX" w:eastAsia="es-MX"/>
        </w:rPr>
      </w:pPr>
    </w:p>
    <w:p w:rsidR="00AE6480" w:rsidRDefault="00B07490" w:rsidP="003D64DE">
      <w:pPr>
        <w:pStyle w:val="Prrafodelista"/>
        <w:numPr>
          <w:ilvl w:val="1"/>
          <w:numId w:val="3"/>
        </w:numPr>
        <w:jc w:val="both"/>
        <w:rPr>
          <w:rFonts w:ascii="Cambria" w:hAnsi="Cambria"/>
          <w:b/>
          <w:sz w:val="32"/>
          <w:szCs w:val="32"/>
          <w:lang w:val="es-MX" w:eastAsia="es-MX"/>
        </w:rPr>
      </w:pPr>
      <w:r>
        <w:rPr>
          <w:rFonts w:ascii="Cambria" w:hAnsi="Cambria"/>
          <w:b/>
          <w:sz w:val="32"/>
          <w:szCs w:val="32"/>
          <w:lang w:val="es-MX" w:eastAsia="es-MX"/>
        </w:rPr>
        <w:t>Reforma Constitucional y Ley General de Contabilidad Gubernamental</w:t>
      </w:r>
    </w:p>
    <w:p w:rsidR="006D72B1" w:rsidRPr="006D72B1" w:rsidRDefault="006D72B1" w:rsidP="003D64DE">
      <w:pPr>
        <w:jc w:val="both"/>
        <w:rPr>
          <w:rFonts w:ascii="Times New Roman" w:hAnsi="Times New Roman"/>
          <w:lang w:val="es-MX"/>
        </w:rPr>
      </w:pPr>
    </w:p>
    <w:p w:rsidR="006D72B1" w:rsidRPr="00ED2BCF" w:rsidRDefault="006D72B1" w:rsidP="001402C5">
      <w:pPr>
        <w:jc w:val="center"/>
        <w:rPr>
          <w:rFonts w:ascii="Times New Roman" w:hAnsi="Times New Roman"/>
          <w:sz w:val="28"/>
          <w:szCs w:val="28"/>
          <w:lang w:val="es-MX"/>
        </w:rPr>
      </w:pPr>
      <w:r w:rsidRPr="00ED2BCF">
        <w:rPr>
          <w:rFonts w:ascii="Times New Roman" w:hAnsi="Times New Roman"/>
          <w:sz w:val="28"/>
          <w:szCs w:val="28"/>
          <w:lang w:val="es-MX"/>
        </w:rPr>
        <w:t>El Sistema de Contabilidad Gubernamental (SGC) se fundamenta en el artículo 73, Fracción XXVIII de la Constitución Política de los Estados Unidos Mexicanos que, dentro de las facultades del Congreso, establece la de “expedir leyes en materia de contabilidad gubernamental que regirán la contabilidad pública y la presentación homogénea de información financiera, de ingresos y egresos, así como patrimonial con el fin de garantizar su armonización a nivel nacional”.</w:t>
      </w:r>
    </w:p>
    <w:p w:rsidR="006D72B1" w:rsidRPr="00ED2BCF" w:rsidRDefault="006D72B1" w:rsidP="001402C5">
      <w:pPr>
        <w:jc w:val="center"/>
        <w:rPr>
          <w:rFonts w:ascii="Times New Roman" w:hAnsi="Times New Roman"/>
          <w:sz w:val="28"/>
          <w:szCs w:val="28"/>
          <w:lang w:val="es-MX"/>
        </w:rPr>
      </w:pPr>
      <w:r w:rsidRPr="00ED2BCF">
        <w:rPr>
          <w:rFonts w:ascii="Times New Roman" w:hAnsi="Times New Roman"/>
          <w:sz w:val="28"/>
          <w:szCs w:val="28"/>
          <w:lang w:val="es-MX"/>
        </w:rPr>
        <w:t>En dicho marco, el Congreso de la Unión aprobó la Ley General de Contabilidad Gubernamental (Ley de Contabilidad) que rige en la materia a los tres órdenes de gobierno y creó el Consejo Nacional de Armonización Contable (CONAC).</w:t>
      </w:r>
    </w:p>
    <w:p w:rsidR="00AE6480" w:rsidRPr="003D64DE" w:rsidRDefault="00AE6480" w:rsidP="00CA0E66">
      <w:pPr>
        <w:shd w:val="clear" w:color="auto" w:fill="FFFFFF"/>
        <w:rPr>
          <w:rFonts w:ascii="Cambria" w:hAnsi="Cambria"/>
          <w:b/>
          <w:sz w:val="26"/>
          <w:szCs w:val="26"/>
          <w:lang w:val="es-MX" w:eastAsia="es-MX"/>
        </w:rPr>
      </w:pPr>
    </w:p>
    <w:p w:rsidR="00B07490" w:rsidRDefault="003D64DE" w:rsidP="00CA0E66">
      <w:pPr>
        <w:shd w:val="clear" w:color="auto" w:fill="FFFFFF"/>
        <w:rPr>
          <w:rFonts w:ascii="Cambria" w:hAnsi="Cambria"/>
          <w:b/>
          <w:sz w:val="32"/>
          <w:szCs w:val="32"/>
          <w:lang w:val="es-MX" w:eastAsia="es-MX"/>
        </w:rPr>
      </w:pPr>
      <w:r w:rsidRPr="00B07490">
        <w:rPr>
          <w:rFonts w:ascii="Times New Roman" w:hAnsi="Times New Roman"/>
          <w:sz w:val="22"/>
          <w:szCs w:val="22"/>
          <w:lang w:val="es-MX" w:eastAsia="es-MX"/>
        </w:rPr>
        <w:object w:dxaOrig="7191"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22.5pt" o:ole="">
            <v:imagedata r:id="rId7" o:title=""/>
          </v:shape>
          <o:OLEObject Type="Embed" ProgID="PowerPoint.Slide.12" ShapeID="_x0000_i1025" DrawAspect="Content" ObjectID="_1406475734" r:id="rId8"/>
        </w:object>
      </w:r>
    </w:p>
    <w:p w:rsidR="000324A9" w:rsidRDefault="000324A9" w:rsidP="00367B3C">
      <w:pPr>
        <w:jc w:val="both"/>
        <w:rPr>
          <w:rFonts w:ascii="Arial" w:hAnsi="Arial" w:cs="Arial"/>
          <w:b/>
          <w:color w:val="000000"/>
          <w:lang w:eastAsia="es-MX"/>
        </w:rPr>
      </w:pPr>
    </w:p>
    <w:p w:rsidR="00367B3C" w:rsidRPr="009723BA" w:rsidRDefault="00367B3C" w:rsidP="00367B3C">
      <w:pPr>
        <w:jc w:val="both"/>
        <w:rPr>
          <w:rFonts w:ascii="Arial" w:hAnsi="Arial" w:cs="Arial"/>
          <w:b/>
          <w:color w:val="000000"/>
          <w:lang w:eastAsia="es-MX"/>
        </w:rPr>
      </w:pPr>
      <w:r w:rsidRPr="009723BA">
        <w:rPr>
          <w:rFonts w:ascii="Arial" w:hAnsi="Arial" w:cs="Arial"/>
          <w:b/>
          <w:color w:val="000000"/>
          <w:lang w:eastAsia="es-MX"/>
        </w:rPr>
        <w:t>Objeto de la ley</w:t>
      </w:r>
    </w:p>
    <w:p w:rsidR="00367B3C" w:rsidRDefault="00E60339" w:rsidP="00367B3C">
      <w:pPr>
        <w:jc w:val="both"/>
        <w:rPr>
          <w:rFonts w:ascii="Arial" w:hAnsi="Arial" w:cs="Arial"/>
          <w:color w:val="000000"/>
          <w:lang w:eastAsia="es-MX"/>
        </w:rPr>
      </w:pPr>
      <w:r>
        <w:rPr>
          <w:rFonts w:ascii="Arial" w:hAnsi="Arial" w:cs="Arial"/>
          <w:color w:val="000000"/>
          <w:lang w:eastAsia="es-MX"/>
        </w:rPr>
        <w:t>S</w:t>
      </w:r>
      <w:r w:rsidR="00367B3C" w:rsidRPr="009723BA">
        <w:rPr>
          <w:rFonts w:ascii="Arial" w:hAnsi="Arial" w:cs="Arial"/>
          <w:color w:val="000000"/>
          <w:lang w:eastAsia="es-MX"/>
        </w:rPr>
        <w:t>e establecen los criterios generales para la contabilidad gubernamental y la emisión de información financiera de los tres órdenes de gobierno, a efecto de lograr su adecuada armonización. Bajo el esquema que se propone, se facilita el registro y la fiscalización de los activos, pasivos, ingresos y gastos con el fin de medir la eficacia, economía y eficiencia del gasto e ingresos públicos, la administración de la deuda pública, así como las obligaciones contingentes y el patrimonio del Estado.</w:t>
      </w:r>
    </w:p>
    <w:p w:rsidR="00367B3C" w:rsidRDefault="00367B3C" w:rsidP="00367B3C">
      <w:pPr>
        <w:jc w:val="both"/>
        <w:rPr>
          <w:rFonts w:ascii="Arial" w:hAnsi="Arial" w:cs="Arial"/>
          <w:b/>
          <w:color w:val="000000"/>
          <w:lang w:eastAsia="es-MX"/>
        </w:rPr>
      </w:pPr>
    </w:p>
    <w:p w:rsidR="00367B3C" w:rsidRPr="008B1D68" w:rsidRDefault="00367B3C" w:rsidP="00367B3C">
      <w:pPr>
        <w:jc w:val="both"/>
        <w:rPr>
          <w:rFonts w:ascii="Arial" w:hAnsi="Arial" w:cs="Arial"/>
          <w:b/>
          <w:color w:val="000000"/>
          <w:lang w:eastAsia="es-MX"/>
        </w:rPr>
      </w:pPr>
      <w:r w:rsidRPr="008B1D68">
        <w:rPr>
          <w:rFonts w:ascii="Arial" w:hAnsi="Arial" w:cs="Arial"/>
          <w:b/>
          <w:color w:val="000000"/>
          <w:lang w:eastAsia="es-MX"/>
        </w:rPr>
        <w:br/>
        <w:t>Sistemas contables</w:t>
      </w: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Se </w:t>
      </w:r>
      <w:r w:rsidR="00E60339">
        <w:rPr>
          <w:rFonts w:ascii="Arial" w:hAnsi="Arial" w:cs="Arial"/>
          <w:color w:val="000000"/>
          <w:lang w:eastAsia="es-MX"/>
        </w:rPr>
        <w:t xml:space="preserve">establece </w:t>
      </w:r>
      <w:r w:rsidRPr="009723BA">
        <w:rPr>
          <w:rFonts w:ascii="Arial" w:hAnsi="Arial" w:cs="Arial"/>
          <w:color w:val="000000"/>
          <w:lang w:eastAsia="es-MX"/>
        </w:rPr>
        <w:t xml:space="preserve">que el Sistema de Contabilidad Gubernamental </w:t>
      </w:r>
      <w:r w:rsidR="00E60339">
        <w:rPr>
          <w:rFonts w:ascii="Arial" w:hAnsi="Arial" w:cs="Arial"/>
          <w:color w:val="000000"/>
          <w:lang w:eastAsia="es-MX"/>
        </w:rPr>
        <w:t>es</w:t>
      </w:r>
      <w:r w:rsidRPr="009723BA">
        <w:rPr>
          <w:rFonts w:ascii="Arial" w:hAnsi="Arial" w:cs="Arial"/>
          <w:color w:val="000000"/>
          <w:lang w:eastAsia="es-MX"/>
        </w:rPr>
        <w:t xml:space="preserve"> la herramienta esencial de apoyo para la toma de decisiones sobre las finanzas públicas. Dicho sistema refleja la aplicación de los principios y normas contables generales y específicas bajo los estándares nacionales e internacionales vigentes, propiciando su actualización a través del marco institucional que se explica más adelante.</w:t>
      </w:r>
    </w:p>
    <w:p w:rsidR="00E60339" w:rsidRDefault="00E60339" w:rsidP="00367B3C">
      <w:pPr>
        <w:jc w:val="both"/>
        <w:rPr>
          <w:rFonts w:ascii="Arial" w:hAnsi="Arial" w:cs="Arial"/>
          <w:color w:val="000000"/>
          <w:lang w:eastAsia="es-MX"/>
        </w:rPr>
      </w:pP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Por otra parte, se </w:t>
      </w:r>
      <w:r w:rsidR="00E60339">
        <w:rPr>
          <w:rFonts w:ascii="Arial" w:hAnsi="Arial" w:cs="Arial"/>
          <w:color w:val="000000"/>
          <w:lang w:eastAsia="es-MX"/>
        </w:rPr>
        <w:t>establece</w:t>
      </w:r>
      <w:r w:rsidRPr="009723BA">
        <w:rPr>
          <w:rFonts w:ascii="Arial" w:hAnsi="Arial" w:cs="Arial"/>
          <w:color w:val="000000"/>
          <w:lang w:eastAsia="es-MX"/>
        </w:rPr>
        <w:t xml:space="preserve"> que la información contable </w:t>
      </w:r>
      <w:r w:rsidR="00E60339">
        <w:rPr>
          <w:rFonts w:ascii="Arial" w:hAnsi="Arial" w:cs="Arial"/>
          <w:color w:val="000000"/>
          <w:lang w:eastAsia="es-MX"/>
        </w:rPr>
        <w:t xml:space="preserve">debe mantener </w:t>
      </w:r>
      <w:r w:rsidRPr="009723BA">
        <w:rPr>
          <w:rFonts w:ascii="Arial" w:hAnsi="Arial" w:cs="Arial"/>
          <w:color w:val="000000"/>
          <w:lang w:eastAsia="es-MX"/>
        </w:rPr>
        <w:t xml:space="preserve">estricta congruencia con la información presupuestaria. Con esta característica, los sistemas contables </w:t>
      </w:r>
      <w:r w:rsidR="00E60339">
        <w:rPr>
          <w:rFonts w:ascii="Arial" w:hAnsi="Arial" w:cs="Arial"/>
          <w:color w:val="000000"/>
          <w:lang w:eastAsia="es-MX"/>
        </w:rPr>
        <w:t>deberán</w:t>
      </w:r>
      <w:r w:rsidRPr="009723BA">
        <w:rPr>
          <w:rFonts w:ascii="Arial" w:hAnsi="Arial" w:cs="Arial"/>
          <w:color w:val="000000"/>
          <w:lang w:eastAsia="es-MX"/>
        </w:rPr>
        <w:t xml:space="preserve"> emitir, en tiempo real, estados financieros, de ejecución presupuestaria y otra información que coadyuve a la toma de decisiones, a la </w:t>
      </w:r>
      <w:r w:rsidRPr="009723BA">
        <w:rPr>
          <w:rFonts w:ascii="Arial" w:hAnsi="Arial" w:cs="Arial"/>
          <w:color w:val="000000"/>
          <w:lang w:eastAsia="es-MX"/>
        </w:rPr>
        <w:lastRenderedPageBreak/>
        <w:t>transparencia, a la programación con base en resultados, a la evaluación y a la rendición de cuentas. Asimismo, se pre</w:t>
      </w:r>
      <w:r w:rsidR="00E60339">
        <w:rPr>
          <w:rFonts w:ascii="Arial" w:hAnsi="Arial" w:cs="Arial"/>
          <w:color w:val="000000"/>
          <w:lang w:eastAsia="es-MX"/>
        </w:rPr>
        <w:t>cisa</w:t>
      </w:r>
      <w:r w:rsidRPr="009723BA">
        <w:rPr>
          <w:rFonts w:ascii="Arial" w:hAnsi="Arial" w:cs="Arial"/>
          <w:color w:val="000000"/>
          <w:lang w:eastAsia="es-MX"/>
        </w:rPr>
        <w:t xml:space="preserve"> que los sistemas contables </w:t>
      </w:r>
      <w:r w:rsidR="00E60339">
        <w:rPr>
          <w:rFonts w:ascii="Arial" w:hAnsi="Arial" w:cs="Arial"/>
          <w:color w:val="000000"/>
          <w:lang w:eastAsia="es-MX"/>
        </w:rPr>
        <w:t>deberán realizar</w:t>
      </w:r>
      <w:r w:rsidRPr="009723BA">
        <w:rPr>
          <w:rFonts w:ascii="Arial" w:hAnsi="Arial" w:cs="Arial"/>
          <w:color w:val="000000"/>
          <w:lang w:eastAsia="es-MX"/>
        </w:rPr>
        <w:t xml:space="preserve"> los registros con base acumulativa para la integración de la información financiera, así como un registro y control de los inventarios de los bienes muebles e inmuebles de los entes públicos.</w:t>
      </w:r>
    </w:p>
    <w:p w:rsidR="00E60339" w:rsidRDefault="00E60339" w:rsidP="00367B3C">
      <w:pPr>
        <w:jc w:val="both"/>
        <w:rPr>
          <w:rFonts w:ascii="Arial" w:hAnsi="Arial" w:cs="Arial"/>
          <w:color w:val="000000"/>
          <w:lang w:eastAsia="es-MX"/>
        </w:rPr>
      </w:pP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Adicionalmente, incluye disposiciones que establecen los parámetros bajo los cuales deberá llevarse la contabilidad gubernamental. Se precisa que ésta toma como base un marco conceptual que constituye la referencia para el registro, valuación, presentación y revelación de la información financiera, el cual cont</w:t>
      </w:r>
      <w:r w:rsidR="00E60339">
        <w:rPr>
          <w:rFonts w:ascii="Arial" w:hAnsi="Arial" w:cs="Arial"/>
          <w:color w:val="000000"/>
          <w:lang w:eastAsia="es-MX"/>
        </w:rPr>
        <w:t>iene</w:t>
      </w:r>
      <w:r w:rsidRPr="009723BA">
        <w:rPr>
          <w:rFonts w:ascii="Arial" w:hAnsi="Arial" w:cs="Arial"/>
          <w:color w:val="000000"/>
          <w:lang w:eastAsia="es-MX"/>
        </w:rPr>
        <w:t xml:space="preserve"> postulados básicos. Dichos postulados </w:t>
      </w:r>
      <w:r w:rsidR="00E60339">
        <w:rPr>
          <w:rFonts w:ascii="Arial" w:hAnsi="Arial" w:cs="Arial"/>
          <w:color w:val="000000"/>
          <w:lang w:eastAsia="es-MX"/>
        </w:rPr>
        <w:t>son</w:t>
      </w:r>
      <w:r w:rsidRPr="009723BA">
        <w:rPr>
          <w:rFonts w:ascii="Arial" w:hAnsi="Arial" w:cs="Arial"/>
          <w:color w:val="000000"/>
          <w:lang w:eastAsia="es-MX"/>
        </w:rPr>
        <w:t xml:space="preserve"> el sustento técnico de la contabilidad gubernamental para uniformar los métodos, procedimientos y prácticas contables, así como para organizar la efectiva sistematización que permita la obtención de información clara, concisa, oportuna y veraz.</w:t>
      </w:r>
    </w:p>
    <w:p w:rsidR="00367B3C" w:rsidRPr="008B1D68" w:rsidRDefault="00367B3C" w:rsidP="00367B3C">
      <w:pPr>
        <w:jc w:val="both"/>
        <w:rPr>
          <w:rFonts w:ascii="Arial" w:hAnsi="Arial" w:cs="Arial"/>
          <w:b/>
          <w:color w:val="000000"/>
          <w:lang w:eastAsia="es-MX"/>
        </w:rPr>
      </w:pPr>
      <w:r w:rsidRPr="008B1D68">
        <w:rPr>
          <w:rFonts w:ascii="Arial" w:hAnsi="Arial" w:cs="Arial"/>
          <w:b/>
          <w:color w:val="000000"/>
          <w:lang w:eastAsia="es-MX"/>
        </w:rPr>
        <w:br/>
        <w:t>Registro patrimonial</w:t>
      </w: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Además de contener disposiciones respecto al registro de la información contable, financiera y presupuestaria, </w:t>
      </w:r>
      <w:r w:rsidR="00E60339">
        <w:rPr>
          <w:rFonts w:ascii="Arial" w:hAnsi="Arial" w:cs="Arial"/>
          <w:color w:val="000000"/>
          <w:lang w:eastAsia="es-MX"/>
        </w:rPr>
        <w:t>la Ley</w:t>
      </w:r>
      <w:r w:rsidRPr="009723BA">
        <w:rPr>
          <w:rFonts w:ascii="Arial" w:hAnsi="Arial" w:cs="Arial"/>
          <w:color w:val="000000"/>
          <w:lang w:eastAsia="es-MX"/>
        </w:rPr>
        <w:t xml:space="preserve"> incluye otro elemento fundamental: un registro patrimonial que apoye la toma de decisiones. Se establece un esquema bajo el cual se registrarán únicamente los bienes que tienen impacto en la toma de decisiones sobre el haber del gobierno, sin que por ello se deje fuera el control de algunos bienes de carácter arqueológico, cultural o histórico bajo el resguardo de los entes públicos.</w:t>
      </w:r>
    </w:p>
    <w:p w:rsidR="00E60339" w:rsidRDefault="00E60339" w:rsidP="00367B3C">
      <w:pPr>
        <w:jc w:val="both"/>
        <w:rPr>
          <w:rFonts w:ascii="Arial" w:hAnsi="Arial" w:cs="Arial"/>
          <w:color w:val="000000"/>
          <w:lang w:eastAsia="es-MX"/>
        </w:rPr>
      </w:pPr>
    </w:p>
    <w:p w:rsidR="000324A9" w:rsidRDefault="000324A9" w:rsidP="00367B3C">
      <w:pPr>
        <w:jc w:val="both"/>
        <w:rPr>
          <w:rFonts w:ascii="Arial" w:hAnsi="Arial" w:cs="Arial"/>
          <w:color w:val="000000"/>
          <w:lang w:eastAsia="es-MX"/>
        </w:rPr>
      </w:pPr>
    </w:p>
    <w:p w:rsidR="00E60339" w:rsidRDefault="00367B3C" w:rsidP="00367B3C">
      <w:pPr>
        <w:jc w:val="both"/>
        <w:rPr>
          <w:rFonts w:ascii="Arial" w:hAnsi="Arial" w:cs="Arial"/>
          <w:color w:val="000000"/>
          <w:lang w:eastAsia="es-MX"/>
        </w:rPr>
      </w:pPr>
      <w:r w:rsidRPr="009723BA">
        <w:rPr>
          <w:rFonts w:ascii="Arial" w:hAnsi="Arial" w:cs="Arial"/>
          <w:color w:val="000000"/>
          <w:lang w:eastAsia="es-MX"/>
        </w:rPr>
        <w:t xml:space="preserve">Por ello, se </w:t>
      </w:r>
      <w:r w:rsidR="00E60339">
        <w:rPr>
          <w:rFonts w:ascii="Arial" w:hAnsi="Arial" w:cs="Arial"/>
          <w:color w:val="000000"/>
          <w:lang w:eastAsia="es-MX"/>
        </w:rPr>
        <w:t>establece la existencia de</w:t>
      </w:r>
      <w:r w:rsidRPr="009723BA">
        <w:rPr>
          <w:rFonts w:ascii="Arial" w:hAnsi="Arial" w:cs="Arial"/>
          <w:color w:val="000000"/>
          <w:lang w:eastAsia="es-MX"/>
        </w:rPr>
        <w:t xml:space="preserve"> registros contables, en cuentas específicas del activo, de los bienes muebles e inmuebles destinados a un servicio público, incluyendo equipo de cómputo y vehículos. Para mayor certeza, los registros contables deberán reflejar la alta y baja de bienes en el inventario de los entes públicos. Con independencia de esos registros, se llevará un registro auxiliar de los bienes que, por su naturaleza, sean inalienables e imprescriptibles, como lo son los monumentos arqueológicos, artísticos e históricos.</w:t>
      </w:r>
    </w:p>
    <w:p w:rsidR="000324A9" w:rsidRDefault="000324A9" w:rsidP="00367B3C">
      <w:pPr>
        <w:jc w:val="both"/>
        <w:rPr>
          <w:rFonts w:ascii="Arial" w:hAnsi="Arial" w:cs="Arial"/>
          <w:color w:val="000000"/>
          <w:lang w:eastAsia="es-MX"/>
        </w:rPr>
      </w:pP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br/>
        <w:t xml:space="preserve">Tanto el registro contable de los bienes destinados a un servicio público, como el auxiliar deberán ser consistentes con el inventario físico de los mismos. Así, </w:t>
      </w:r>
      <w:r w:rsidR="00E60339">
        <w:rPr>
          <w:rFonts w:ascii="Arial" w:hAnsi="Arial" w:cs="Arial"/>
          <w:color w:val="000000"/>
          <w:lang w:eastAsia="es-MX"/>
        </w:rPr>
        <w:t>se</w:t>
      </w:r>
      <w:r w:rsidRPr="009723BA">
        <w:rPr>
          <w:rFonts w:ascii="Arial" w:hAnsi="Arial" w:cs="Arial"/>
          <w:color w:val="000000"/>
          <w:lang w:eastAsia="es-MX"/>
        </w:rPr>
        <w:t xml:space="preserve"> impone la obligación de levantar los inventarios correspondientes a efecto de que se transparenten los bienes muebles e inmuebles con los que cuenta el gobierno. Inclusive, se prevé un mecanismo para el caso de los bienes que, por la fecha de su adquisición, no ha</w:t>
      </w:r>
      <w:r w:rsidR="00E60339">
        <w:rPr>
          <w:rFonts w:ascii="Arial" w:hAnsi="Arial" w:cs="Arial"/>
          <w:color w:val="000000"/>
          <w:lang w:eastAsia="es-MX"/>
        </w:rPr>
        <w:t>yan</w:t>
      </w:r>
      <w:r w:rsidRPr="009723BA">
        <w:rPr>
          <w:rFonts w:ascii="Arial" w:hAnsi="Arial" w:cs="Arial"/>
          <w:color w:val="000000"/>
          <w:lang w:eastAsia="es-MX"/>
        </w:rPr>
        <w:t xml:space="preserve"> sido registrados al momento que una administración saliente debe entregarle a la entrante.</w:t>
      </w:r>
    </w:p>
    <w:p w:rsidR="000324A9" w:rsidRDefault="000324A9" w:rsidP="00367B3C">
      <w:pPr>
        <w:jc w:val="both"/>
        <w:rPr>
          <w:rFonts w:ascii="Arial" w:hAnsi="Arial" w:cs="Arial"/>
          <w:b/>
          <w:color w:val="000000"/>
          <w:lang w:eastAsia="es-MX"/>
        </w:rPr>
      </w:pPr>
    </w:p>
    <w:p w:rsidR="001402C5" w:rsidRDefault="001402C5" w:rsidP="00367B3C">
      <w:pPr>
        <w:jc w:val="both"/>
        <w:rPr>
          <w:rFonts w:ascii="Arial" w:hAnsi="Arial" w:cs="Arial"/>
          <w:b/>
          <w:color w:val="000000"/>
          <w:lang w:eastAsia="es-MX"/>
        </w:rPr>
      </w:pPr>
    </w:p>
    <w:p w:rsidR="001402C5" w:rsidRDefault="001402C5" w:rsidP="00367B3C">
      <w:pPr>
        <w:jc w:val="both"/>
        <w:rPr>
          <w:rFonts w:ascii="Arial" w:hAnsi="Arial" w:cs="Arial"/>
          <w:b/>
          <w:color w:val="000000"/>
          <w:lang w:eastAsia="es-MX"/>
        </w:rPr>
      </w:pPr>
    </w:p>
    <w:p w:rsidR="001402C5" w:rsidRDefault="001402C5" w:rsidP="00367B3C">
      <w:pPr>
        <w:jc w:val="both"/>
        <w:rPr>
          <w:rFonts w:ascii="Arial" w:hAnsi="Arial" w:cs="Arial"/>
          <w:b/>
          <w:color w:val="000000"/>
          <w:lang w:eastAsia="es-MX"/>
        </w:rPr>
      </w:pPr>
    </w:p>
    <w:p w:rsidR="00367B3C" w:rsidRPr="008B1D68" w:rsidRDefault="00367B3C" w:rsidP="00367B3C">
      <w:pPr>
        <w:jc w:val="both"/>
        <w:rPr>
          <w:rFonts w:ascii="Arial" w:hAnsi="Arial" w:cs="Arial"/>
          <w:b/>
          <w:color w:val="000000"/>
          <w:lang w:eastAsia="es-MX"/>
        </w:rPr>
      </w:pPr>
      <w:r w:rsidRPr="008B1D68">
        <w:rPr>
          <w:rFonts w:ascii="Arial" w:hAnsi="Arial" w:cs="Arial"/>
          <w:b/>
          <w:color w:val="000000"/>
          <w:lang w:eastAsia="es-MX"/>
        </w:rPr>
        <w:lastRenderedPageBreak/>
        <w:br/>
        <w:t xml:space="preserve"> Información financiera periódica y Cuenta Pública</w:t>
      </w: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Sin duda, contar con información para la toma de decisiones es pieza clave para que las administraciones de los tres órdenes de gobierno actúen con eficacia, economía y eficiencia del gasto e ingresos públicos. Por ello, no sólo se </w:t>
      </w:r>
      <w:r w:rsidR="00895E49">
        <w:rPr>
          <w:rFonts w:ascii="Arial" w:hAnsi="Arial" w:cs="Arial"/>
          <w:color w:val="000000"/>
          <w:lang w:eastAsia="es-MX"/>
        </w:rPr>
        <w:t>establece</w:t>
      </w:r>
      <w:r w:rsidRPr="009723BA">
        <w:rPr>
          <w:rFonts w:ascii="Arial" w:hAnsi="Arial" w:cs="Arial"/>
          <w:color w:val="000000"/>
          <w:lang w:eastAsia="es-MX"/>
        </w:rPr>
        <w:t xml:space="preserve"> que los sistemas contables tengan la capacidad de generar información en tiempo real, sino que la también es explícita en cuanto a la calidad de la misma. En este sentido, se contempla el nivel de desagregación que los sistemas contables deben producir de forma periódica en cuanto a la información contable, presupuestaria y programática, tomando en cuenta las diferencias que exige cada nivel de gobierno.</w:t>
      </w:r>
    </w:p>
    <w:p w:rsidR="00895E49" w:rsidRDefault="00895E49" w:rsidP="00367B3C">
      <w:pPr>
        <w:jc w:val="both"/>
        <w:rPr>
          <w:rFonts w:ascii="Arial" w:hAnsi="Arial" w:cs="Arial"/>
          <w:color w:val="000000"/>
          <w:lang w:eastAsia="es-MX"/>
        </w:rPr>
      </w:pPr>
    </w:p>
    <w:p w:rsidR="00367B3C" w:rsidRPr="00F476BF" w:rsidRDefault="00367B3C" w:rsidP="00367B3C">
      <w:pPr>
        <w:jc w:val="both"/>
        <w:rPr>
          <w:rFonts w:ascii="Arial" w:hAnsi="Arial" w:cs="Arial"/>
          <w:b/>
          <w:color w:val="000000"/>
          <w:lang w:eastAsia="es-MX"/>
        </w:rPr>
      </w:pPr>
      <w:r w:rsidRPr="00F476BF">
        <w:rPr>
          <w:rFonts w:ascii="Arial" w:hAnsi="Arial" w:cs="Arial"/>
          <w:b/>
          <w:color w:val="000000"/>
          <w:lang w:eastAsia="es-MX"/>
        </w:rPr>
        <w:br/>
        <w:t>Resultados</w:t>
      </w: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Recientemente se ha dado relevancia a la administración de los recursos públicos hacia resultados. En congruencia con </w:t>
      </w:r>
      <w:r w:rsidR="00895E49">
        <w:rPr>
          <w:rFonts w:ascii="Arial" w:hAnsi="Arial" w:cs="Arial"/>
          <w:color w:val="000000"/>
          <w:lang w:eastAsia="es-MX"/>
        </w:rPr>
        <w:t>lo anterior</w:t>
      </w:r>
      <w:r w:rsidRPr="009723BA">
        <w:rPr>
          <w:rFonts w:ascii="Arial" w:hAnsi="Arial" w:cs="Arial"/>
          <w:color w:val="000000"/>
          <w:lang w:eastAsia="es-MX"/>
        </w:rPr>
        <w:t xml:space="preserve">, se </w:t>
      </w:r>
      <w:r w:rsidR="00895E49">
        <w:rPr>
          <w:rFonts w:ascii="Arial" w:hAnsi="Arial" w:cs="Arial"/>
          <w:color w:val="000000"/>
          <w:lang w:eastAsia="es-MX"/>
        </w:rPr>
        <w:t>precisa</w:t>
      </w:r>
      <w:r w:rsidRPr="009723BA">
        <w:rPr>
          <w:rFonts w:ascii="Arial" w:hAnsi="Arial" w:cs="Arial"/>
          <w:color w:val="000000"/>
          <w:lang w:eastAsia="es-MX"/>
        </w:rPr>
        <w:t xml:space="preserve"> que la Cuenta Pública no sólo debe reflejar los registros y cifras correspondientes a los ingresos y gastos del sector público, sino también relacionarla con los objetivos y prioridades de la planeación del desarrollo.</w:t>
      </w:r>
    </w:p>
    <w:p w:rsidR="001402C5" w:rsidRDefault="001402C5" w:rsidP="00367B3C">
      <w:pPr>
        <w:jc w:val="both"/>
        <w:rPr>
          <w:rFonts w:ascii="Arial" w:hAnsi="Arial" w:cs="Arial"/>
          <w:color w:val="000000"/>
          <w:lang w:eastAsia="es-MX"/>
        </w:rPr>
      </w:pPr>
    </w:p>
    <w:p w:rsidR="00367B3C" w:rsidRDefault="00367B3C" w:rsidP="00367B3C">
      <w:pPr>
        <w:jc w:val="both"/>
        <w:rPr>
          <w:rFonts w:ascii="Arial" w:hAnsi="Arial" w:cs="Arial"/>
          <w:color w:val="000000"/>
          <w:lang w:eastAsia="es-MX"/>
        </w:rPr>
      </w:pPr>
      <w:r w:rsidRPr="009723BA">
        <w:rPr>
          <w:rFonts w:ascii="Arial" w:hAnsi="Arial" w:cs="Arial"/>
          <w:color w:val="000000"/>
          <w:lang w:eastAsia="es-MX"/>
        </w:rPr>
        <w:t xml:space="preserve">Asimismo, se </w:t>
      </w:r>
      <w:r w:rsidR="00895E49">
        <w:rPr>
          <w:rFonts w:ascii="Arial" w:hAnsi="Arial" w:cs="Arial"/>
          <w:color w:val="000000"/>
          <w:lang w:eastAsia="es-MX"/>
        </w:rPr>
        <w:t>establece</w:t>
      </w:r>
      <w:r w:rsidRPr="009723BA">
        <w:rPr>
          <w:rFonts w:ascii="Arial" w:hAnsi="Arial" w:cs="Arial"/>
          <w:color w:val="000000"/>
          <w:lang w:eastAsia="es-MX"/>
        </w:rPr>
        <w:t xml:space="preserve"> que la Cuenta Pública informa</w:t>
      </w:r>
      <w:r w:rsidR="00895E49">
        <w:rPr>
          <w:rFonts w:ascii="Arial" w:hAnsi="Arial" w:cs="Arial"/>
          <w:color w:val="000000"/>
          <w:lang w:eastAsia="es-MX"/>
        </w:rPr>
        <w:t>rá</w:t>
      </w:r>
      <w:r w:rsidRPr="009723BA">
        <w:rPr>
          <w:rFonts w:ascii="Arial" w:hAnsi="Arial" w:cs="Arial"/>
          <w:color w:val="000000"/>
          <w:lang w:eastAsia="es-MX"/>
        </w:rPr>
        <w:t xml:space="preserve"> no sólo al Congreso de la Unión, y a las legislaturas de los estados, sino también a la sociedad en general. Por tal motivo y, al ser el reporte definitivo de ingresos y gastos del gobierno, </w:t>
      </w:r>
      <w:r w:rsidR="00895E49">
        <w:rPr>
          <w:rFonts w:ascii="Arial" w:hAnsi="Arial" w:cs="Arial"/>
          <w:color w:val="000000"/>
          <w:lang w:eastAsia="es-MX"/>
        </w:rPr>
        <w:t xml:space="preserve">la Ley </w:t>
      </w:r>
      <w:r w:rsidRPr="009723BA">
        <w:rPr>
          <w:rFonts w:ascii="Arial" w:hAnsi="Arial" w:cs="Arial"/>
          <w:color w:val="000000"/>
          <w:lang w:eastAsia="es-MX"/>
        </w:rPr>
        <w:t>prevé que las cuentas públicas incluyan, con base en indicadores, los resultados de la evaluación del desempeño de los programas federales, estatales y municipales.</w:t>
      </w:r>
    </w:p>
    <w:p w:rsidR="00367B3C" w:rsidRDefault="00367B3C" w:rsidP="00367B3C">
      <w:pPr>
        <w:jc w:val="both"/>
        <w:rPr>
          <w:rFonts w:ascii="Arial" w:hAnsi="Arial" w:cs="Arial"/>
          <w:b/>
          <w:color w:val="000000"/>
          <w:lang w:eastAsia="es-MX"/>
        </w:rPr>
      </w:pPr>
    </w:p>
    <w:p w:rsidR="00367B3C" w:rsidRDefault="00367B3C" w:rsidP="00367B3C">
      <w:pPr>
        <w:jc w:val="both"/>
        <w:rPr>
          <w:rFonts w:ascii="Arial" w:hAnsi="Arial" w:cs="Arial"/>
          <w:b/>
          <w:color w:val="000000"/>
          <w:lang w:eastAsia="es-MX"/>
        </w:rPr>
      </w:pPr>
    </w:p>
    <w:p w:rsidR="00B07490" w:rsidRPr="00367B3C" w:rsidRDefault="00B07490" w:rsidP="00CA0E66">
      <w:pPr>
        <w:shd w:val="clear" w:color="auto" w:fill="FFFFFF"/>
        <w:rPr>
          <w:rFonts w:ascii="Cambria" w:hAnsi="Cambria"/>
          <w:b/>
          <w:sz w:val="32"/>
          <w:szCs w:val="32"/>
          <w:lang w:eastAsia="es-MX"/>
        </w:rPr>
      </w:pPr>
    </w:p>
    <w:p w:rsidR="003D64DE" w:rsidRDefault="003D64DE" w:rsidP="003D64DE">
      <w:pPr>
        <w:ind w:left="240"/>
        <w:jc w:val="both"/>
        <w:rPr>
          <w:rFonts w:ascii="Times New Roman" w:hAnsi="Times New Roman"/>
          <w:lang w:val="es-MX"/>
        </w:rPr>
      </w:pPr>
    </w:p>
    <w:p w:rsidR="003D64DE" w:rsidRDefault="00ED2BCF" w:rsidP="003D64DE">
      <w:pPr>
        <w:ind w:left="240"/>
        <w:jc w:val="both"/>
        <w:rPr>
          <w:rFonts w:ascii="Times New Roman" w:hAnsi="Times New Roman"/>
          <w:sz w:val="22"/>
          <w:szCs w:val="22"/>
          <w:lang w:val="es-MX" w:eastAsia="es-MX"/>
        </w:rPr>
      </w:pPr>
      <w:r w:rsidRPr="006D72B1">
        <w:rPr>
          <w:rFonts w:ascii="Times New Roman" w:hAnsi="Times New Roman"/>
          <w:sz w:val="22"/>
          <w:szCs w:val="22"/>
          <w:lang w:val="es-MX" w:eastAsia="es-MX"/>
        </w:rPr>
        <w:object w:dxaOrig="7191" w:dyaOrig="5402">
          <v:shape id="_x0000_i1026" type="#_x0000_t75" style="width:476.25pt;height:438.75pt" o:ole="">
            <v:imagedata r:id="rId9" o:title=""/>
          </v:shape>
          <o:OLEObject Type="Embed" ProgID="PowerPoint.Slide.12" ShapeID="_x0000_i1026" DrawAspect="Content" ObjectID="_1406475735" r:id="rId10"/>
        </w:object>
      </w:r>
    </w:p>
    <w:p w:rsidR="003D64DE" w:rsidRDefault="003D64DE" w:rsidP="003D64DE">
      <w:pPr>
        <w:ind w:left="240"/>
        <w:jc w:val="both"/>
        <w:rPr>
          <w:rFonts w:ascii="Times New Roman" w:hAnsi="Times New Roman"/>
          <w:sz w:val="22"/>
          <w:szCs w:val="22"/>
          <w:lang w:val="es-MX" w:eastAsia="es-MX"/>
        </w:rPr>
      </w:pPr>
    </w:p>
    <w:p w:rsidR="003D64DE" w:rsidRDefault="003D64DE" w:rsidP="003D64DE">
      <w:pPr>
        <w:ind w:left="240"/>
        <w:jc w:val="both"/>
        <w:rPr>
          <w:rFonts w:ascii="Times New Roman" w:hAnsi="Times New Roman"/>
          <w:sz w:val="22"/>
          <w:szCs w:val="22"/>
          <w:lang w:val="es-MX" w:eastAsia="es-MX"/>
        </w:rPr>
      </w:pPr>
    </w:p>
    <w:p w:rsidR="003D64DE" w:rsidRPr="00ED2BCF" w:rsidRDefault="003D64DE" w:rsidP="003D64DE">
      <w:pPr>
        <w:ind w:left="240"/>
        <w:jc w:val="both"/>
        <w:rPr>
          <w:rFonts w:ascii="Times New Roman" w:hAnsi="Times New Roman"/>
          <w:sz w:val="28"/>
          <w:szCs w:val="28"/>
          <w:lang w:val="es-MX"/>
        </w:rPr>
      </w:pPr>
      <w:r w:rsidRPr="00ED2BCF">
        <w:rPr>
          <w:rFonts w:ascii="Times New Roman" w:hAnsi="Times New Roman"/>
          <w:sz w:val="28"/>
          <w:szCs w:val="28"/>
          <w:lang w:val="es-MX"/>
        </w:rPr>
        <w:t xml:space="preserve"> El artículo 1 de la Ley de Contabilidad establece que esta “</w:t>
      </w:r>
      <w:r w:rsidRPr="00ED2BCF">
        <w:rPr>
          <w:rFonts w:ascii="Times New Roman" w:hAnsi="Times New Roman"/>
          <w:b/>
          <w:i/>
          <w:sz w:val="28"/>
          <w:szCs w:val="28"/>
          <w:lang w:val="es-MX"/>
        </w:rPr>
        <w:t>es de observancia obligatoria</w:t>
      </w:r>
      <w:r w:rsidRPr="00ED2BCF">
        <w:rPr>
          <w:rFonts w:ascii="Times New Roman" w:hAnsi="Times New Roman"/>
          <w:sz w:val="28"/>
          <w:szCs w:val="28"/>
          <w:lang w:val="es-MX"/>
        </w:rPr>
        <w:t xml:space="preserve"> para los poderes Ejecutivo, Legislativo y Judicial de la Federación, los estados y el 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 estatales.”</w:t>
      </w:r>
    </w:p>
    <w:p w:rsidR="00ED2BCF" w:rsidRDefault="00ED2BCF" w:rsidP="00ED2BCF">
      <w:pPr>
        <w:ind w:left="240"/>
        <w:jc w:val="both"/>
        <w:rPr>
          <w:rFonts w:ascii="Times New Roman" w:hAnsi="Times New Roman"/>
          <w:sz w:val="26"/>
          <w:szCs w:val="26"/>
          <w:lang w:val="es-MX"/>
        </w:rPr>
      </w:pPr>
    </w:p>
    <w:p w:rsidR="00ED2BCF" w:rsidRDefault="00ED2BCF" w:rsidP="00ED2BCF">
      <w:pPr>
        <w:ind w:left="240"/>
        <w:jc w:val="both"/>
        <w:rPr>
          <w:rFonts w:ascii="Times New Roman" w:hAnsi="Times New Roman"/>
          <w:sz w:val="26"/>
          <w:szCs w:val="26"/>
          <w:lang w:val="es-MX"/>
        </w:rPr>
      </w:pPr>
      <w:r w:rsidRPr="00ED2BCF">
        <w:rPr>
          <w:rFonts w:ascii="Times New Roman" w:hAnsi="Times New Roman"/>
          <w:sz w:val="26"/>
          <w:szCs w:val="26"/>
          <w:lang w:val="es-MX"/>
        </w:rPr>
        <w:t xml:space="preserve">    </w:t>
      </w:r>
    </w:p>
    <w:p w:rsidR="00ED2BCF" w:rsidRDefault="00ED2BCF" w:rsidP="00ED2BCF">
      <w:pPr>
        <w:ind w:left="240"/>
        <w:jc w:val="both"/>
        <w:rPr>
          <w:rFonts w:ascii="Times New Roman" w:hAnsi="Times New Roman"/>
          <w:sz w:val="28"/>
          <w:szCs w:val="28"/>
          <w:lang w:val="es-MX"/>
        </w:rPr>
      </w:pPr>
      <w:r w:rsidRPr="00ED2BCF">
        <w:rPr>
          <w:rFonts w:ascii="Times New Roman" w:hAnsi="Times New Roman"/>
          <w:sz w:val="28"/>
          <w:szCs w:val="28"/>
          <w:lang w:val="es-MX"/>
        </w:rPr>
        <w:lastRenderedPageBreak/>
        <w:t>Por otra parte, asigna al CONAC el carácter de órgano de coordinación para la armonización de la contabilidad gubernamental y lo faculta para la emisión de normas contables y lineamientos para la generación de información financiera que aplicarán los entes públicos.</w:t>
      </w:r>
    </w:p>
    <w:p w:rsidR="00ED2BCF" w:rsidRPr="00ED2BCF" w:rsidRDefault="00ED2BCF" w:rsidP="00ED2BCF">
      <w:pPr>
        <w:ind w:left="240"/>
        <w:jc w:val="both"/>
        <w:rPr>
          <w:rFonts w:ascii="Times New Roman" w:hAnsi="Times New Roman"/>
          <w:sz w:val="28"/>
          <w:szCs w:val="28"/>
          <w:lang w:val="es-MX"/>
        </w:rPr>
      </w:pPr>
    </w:p>
    <w:p w:rsidR="00ED2BCF" w:rsidRDefault="00ED2BCF" w:rsidP="00ED2BCF">
      <w:pPr>
        <w:shd w:val="clear" w:color="auto" w:fill="FFFFFF"/>
        <w:spacing w:before="100" w:beforeAutospacing="1" w:after="100" w:afterAutospacing="1"/>
        <w:jc w:val="center"/>
        <w:rPr>
          <w:rFonts w:ascii="Times New Roman" w:hAnsi="Times New Roman"/>
          <w:sz w:val="22"/>
          <w:szCs w:val="22"/>
          <w:lang w:val="es-MX" w:eastAsia="es-MX"/>
        </w:rPr>
      </w:pPr>
      <w:r w:rsidRPr="00ED2BCF">
        <w:rPr>
          <w:rFonts w:ascii="Times New Roman" w:hAnsi="Times New Roman"/>
          <w:sz w:val="22"/>
          <w:szCs w:val="22"/>
          <w:lang w:val="es-MX" w:eastAsia="es-MX"/>
        </w:rPr>
        <w:object w:dxaOrig="7191" w:dyaOrig="5402">
          <v:shape id="_x0000_i1027" type="#_x0000_t75" style="width:470.25pt;height:349.5pt" o:ole="" o:bordertopcolor="this" o:borderleftcolor="this" o:borderbottomcolor="this" o:borderrightcolor="this">
            <v:imagedata r:id="rId11" o:title=""/>
            <w10:bordertop type="thickBetweenThinSmall" width="24" shadow="t"/>
            <w10:borderleft type="thickBetweenThinSmall" width="24" shadow="t"/>
            <w10:borderbottom type="thickBetweenThinSmall" width="24" shadow="t"/>
            <w10:borderright type="thickBetweenThinSmall" width="24" shadow="t"/>
          </v:shape>
          <o:OLEObject Type="Embed" ProgID="PowerPoint.Slide.12" ShapeID="_x0000_i1027" DrawAspect="Content" ObjectID="_1406475736" r:id="rId12"/>
        </w:object>
      </w:r>
    </w:p>
    <w:p w:rsidR="00ED2BCF" w:rsidRDefault="00ED2BCF" w:rsidP="00ED2BCF">
      <w:pPr>
        <w:shd w:val="clear" w:color="auto" w:fill="FFFFFF"/>
        <w:spacing w:before="100" w:beforeAutospacing="1" w:after="100" w:afterAutospacing="1"/>
        <w:jc w:val="center"/>
        <w:rPr>
          <w:rFonts w:ascii="Times New Roman" w:hAnsi="Times New Roman"/>
          <w:sz w:val="22"/>
          <w:szCs w:val="22"/>
          <w:lang w:val="es-MX" w:eastAsia="es-MX"/>
        </w:rPr>
      </w:pPr>
    </w:p>
    <w:p w:rsidR="00BF0487" w:rsidRDefault="00BF0487" w:rsidP="00ED2BCF">
      <w:pPr>
        <w:shd w:val="clear" w:color="auto" w:fill="FFFFFF"/>
        <w:spacing w:before="100" w:beforeAutospacing="1" w:after="100" w:afterAutospacing="1"/>
        <w:jc w:val="center"/>
        <w:rPr>
          <w:rFonts w:ascii="Times New Roman" w:hAnsi="Times New Roman"/>
          <w:sz w:val="22"/>
          <w:szCs w:val="22"/>
          <w:lang w:val="es-MX" w:eastAsia="es-MX"/>
        </w:rPr>
      </w:pPr>
    </w:p>
    <w:p w:rsidR="00BF0487" w:rsidRDefault="00BF0487" w:rsidP="00ED2BCF">
      <w:pPr>
        <w:shd w:val="clear" w:color="auto" w:fill="FFFFFF"/>
        <w:spacing w:before="100" w:beforeAutospacing="1" w:after="100" w:afterAutospacing="1"/>
        <w:jc w:val="center"/>
        <w:rPr>
          <w:rFonts w:ascii="Times New Roman" w:hAnsi="Times New Roman"/>
          <w:sz w:val="22"/>
          <w:szCs w:val="22"/>
          <w:lang w:val="es-MX" w:eastAsia="es-MX"/>
        </w:rPr>
      </w:pPr>
    </w:p>
    <w:p w:rsidR="00BF0487" w:rsidRDefault="00BF0487" w:rsidP="00ED2BCF">
      <w:pPr>
        <w:shd w:val="clear" w:color="auto" w:fill="FFFFFF"/>
        <w:spacing w:before="100" w:beforeAutospacing="1" w:after="100" w:afterAutospacing="1"/>
        <w:jc w:val="center"/>
        <w:rPr>
          <w:rFonts w:ascii="Times New Roman" w:hAnsi="Times New Roman"/>
          <w:sz w:val="22"/>
          <w:szCs w:val="22"/>
          <w:lang w:val="es-MX" w:eastAsia="es-MX"/>
        </w:rPr>
      </w:pPr>
    </w:p>
    <w:p w:rsidR="00BF0487" w:rsidRDefault="00BF0487" w:rsidP="00ED2BCF">
      <w:pPr>
        <w:shd w:val="clear" w:color="auto" w:fill="FFFFFF"/>
        <w:spacing w:before="100" w:beforeAutospacing="1" w:after="100" w:afterAutospacing="1"/>
        <w:jc w:val="center"/>
        <w:rPr>
          <w:rFonts w:ascii="Times New Roman" w:hAnsi="Times New Roman"/>
          <w:sz w:val="22"/>
          <w:szCs w:val="22"/>
          <w:lang w:val="es-MX" w:eastAsia="es-MX"/>
        </w:rPr>
      </w:pPr>
    </w:p>
    <w:p w:rsidR="00ED2BCF" w:rsidRDefault="00ED2BCF" w:rsidP="00ED2BCF">
      <w:pPr>
        <w:shd w:val="clear" w:color="auto" w:fill="FFFFFF"/>
        <w:spacing w:before="100" w:beforeAutospacing="1" w:after="100" w:afterAutospacing="1"/>
        <w:jc w:val="center"/>
        <w:rPr>
          <w:rFonts w:ascii="Times New Roman" w:hAnsi="Times New Roman"/>
          <w:b/>
          <w:sz w:val="32"/>
          <w:szCs w:val="32"/>
          <w:lang w:val="es-MX" w:eastAsia="es-MX"/>
        </w:rPr>
      </w:pPr>
      <w:r w:rsidRPr="00ED2BCF">
        <w:rPr>
          <w:rFonts w:ascii="Times New Roman" w:hAnsi="Times New Roman"/>
          <w:b/>
          <w:sz w:val="32"/>
          <w:szCs w:val="32"/>
          <w:lang w:val="es-MX" w:eastAsia="es-MX"/>
        </w:rPr>
        <w:lastRenderedPageBreak/>
        <w:t>¿Cuántas disposiciones han sido emitidas por el CONAC?</w:t>
      </w:r>
    </w:p>
    <w:p w:rsidR="006D72B1" w:rsidRDefault="00BF0487" w:rsidP="00ED2BCF">
      <w:pPr>
        <w:shd w:val="clear" w:color="auto" w:fill="FFFFFF"/>
        <w:spacing w:before="100" w:beforeAutospacing="1" w:after="100" w:afterAutospacing="1"/>
        <w:jc w:val="center"/>
        <w:rPr>
          <w:rFonts w:ascii="Times New Roman" w:hAnsi="Times New Roman"/>
          <w:sz w:val="22"/>
          <w:szCs w:val="22"/>
          <w:lang w:val="es-MX" w:eastAsia="es-MX"/>
        </w:rPr>
      </w:pPr>
      <w:r w:rsidRPr="00ED2BCF">
        <w:rPr>
          <w:rFonts w:ascii="Times New Roman" w:hAnsi="Times New Roman"/>
          <w:sz w:val="22"/>
          <w:szCs w:val="22"/>
          <w:lang w:val="es-MX" w:eastAsia="es-MX"/>
        </w:rPr>
        <w:object w:dxaOrig="7191" w:dyaOrig="5402">
          <v:shape id="_x0000_i1028" type="#_x0000_t75" style="width:405.75pt;height:232.5pt" o:ole="" o:bordertopcolor="this" o:borderleftcolor="this" o:borderbottomcolor="this" o:borderrightcolor="this">
            <v:imagedata r:id="rId13" o:title=""/>
            <w10:bordertop type="thickBetweenThin" width="24" shadow="t"/>
            <w10:borderleft type="thickBetweenThin" width="24" shadow="t"/>
            <w10:borderbottom type="thickBetweenThin" width="24" shadow="t"/>
            <w10:borderright type="thickBetweenThin" width="24" shadow="t"/>
          </v:shape>
          <o:OLEObject Type="Embed" ProgID="PowerPoint.Slide.12" ShapeID="_x0000_i1028" DrawAspect="Content" ObjectID="_1406475737" r:id="rId14"/>
        </w:object>
      </w:r>
    </w:p>
    <w:p w:rsidR="003D64DE" w:rsidRDefault="00BF0487" w:rsidP="001402C5">
      <w:pPr>
        <w:shd w:val="clear" w:color="auto" w:fill="FFFFFF"/>
        <w:spacing w:before="100" w:beforeAutospacing="1" w:after="100" w:afterAutospacing="1"/>
        <w:jc w:val="center"/>
        <w:rPr>
          <w:rFonts w:cs="Calibri"/>
          <w:sz w:val="28"/>
          <w:szCs w:val="28"/>
        </w:rPr>
      </w:pPr>
      <w:r w:rsidRPr="00ED2BCF">
        <w:rPr>
          <w:rFonts w:ascii="Times New Roman" w:hAnsi="Times New Roman"/>
          <w:sz w:val="22"/>
          <w:szCs w:val="22"/>
          <w:lang w:val="es-MX" w:eastAsia="es-MX"/>
        </w:rPr>
        <w:object w:dxaOrig="7191" w:dyaOrig="5402">
          <v:shape id="_x0000_i1029" type="#_x0000_t75" style="width:359.25pt;height:274.5pt" o:ole="" o:bordertopcolor="this" o:borderleftcolor="this" o:borderbottomcolor="this" o:borderrightcolor="this">
            <v:imagedata r:id="rId15" o:title=""/>
            <w10:bordertop type="thinThickSmall" width="24" shadow="t"/>
            <w10:borderleft type="thinThickSmall" width="24" shadow="t"/>
            <w10:borderbottom type="thinThickSmall" width="24" shadow="t"/>
            <w10:borderright type="thinThickSmall" width="24" shadow="t"/>
          </v:shape>
          <o:OLEObject Type="Embed" ProgID="PowerPoint.Slide.12" ShapeID="_x0000_i1029" DrawAspect="Content" ObjectID="_1406475738" r:id="rId16"/>
        </w:object>
      </w:r>
    </w:p>
    <w:p w:rsidR="003D64DE" w:rsidRDefault="00BF0487" w:rsidP="00CA0E66">
      <w:pPr>
        <w:shd w:val="clear" w:color="auto" w:fill="FFFFFF"/>
        <w:spacing w:before="100" w:beforeAutospacing="1" w:after="100" w:afterAutospacing="1"/>
        <w:jc w:val="both"/>
        <w:rPr>
          <w:rFonts w:cs="Calibri"/>
          <w:sz w:val="28"/>
          <w:szCs w:val="28"/>
        </w:rPr>
      </w:pPr>
      <w:r w:rsidRPr="00BF0487">
        <w:rPr>
          <w:rFonts w:ascii="Times New Roman" w:hAnsi="Times New Roman"/>
          <w:sz w:val="22"/>
          <w:szCs w:val="22"/>
          <w:lang w:val="es-MX" w:eastAsia="es-MX"/>
        </w:rPr>
        <w:object w:dxaOrig="7191" w:dyaOrig="5402">
          <v:shape id="_x0000_i1030" type="#_x0000_t75" style="width:461.25pt;height:274.5pt" o:ole="" o:bordertopcolor="this" o:borderleftcolor="this" o:borderbottomcolor="this" o:borderrightcolor="this">
            <v:imagedata r:id="rId17" o:title=""/>
            <w10:bordertop type="thinThickSmall" width="24"/>
            <w10:borderleft type="thinThickSmall" width="24"/>
            <w10:borderbottom type="thickThinSmall" width="24"/>
            <w10:borderright type="thickThinSmall" width="24"/>
          </v:shape>
          <o:OLEObject Type="Embed" ProgID="PowerPoint.Slide.12" ShapeID="_x0000_i1030" DrawAspect="Content" ObjectID="_1406475739" r:id="rId18"/>
        </w:object>
      </w:r>
    </w:p>
    <w:p w:rsidR="003D64DE" w:rsidRDefault="00BF0487" w:rsidP="00CA0E66">
      <w:pPr>
        <w:shd w:val="clear" w:color="auto" w:fill="FFFFFF"/>
        <w:spacing w:before="100" w:beforeAutospacing="1" w:after="100" w:afterAutospacing="1"/>
        <w:jc w:val="both"/>
        <w:rPr>
          <w:rFonts w:cs="Calibri"/>
          <w:sz w:val="28"/>
          <w:szCs w:val="28"/>
        </w:rPr>
      </w:pPr>
      <w:r>
        <w:rPr>
          <w:rFonts w:cs="Calibri"/>
          <w:sz w:val="28"/>
          <w:szCs w:val="28"/>
        </w:rPr>
        <w:t xml:space="preserve">                                </w:t>
      </w:r>
      <w:r w:rsidRPr="00BF0487">
        <w:rPr>
          <w:rFonts w:cs="Calibri"/>
          <w:sz w:val="28"/>
          <w:szCs w:val="28"/>
          <w:lang w:val="es-MX"/>
        </w:rPr>
        <w:object w:dxaOrig="7191" w:dyaOrig="5402">
          <v:shape id="_x0000_i1031" type="#_x0000_t75" style="width:461.25pt;height:270pt" o:ole="" o:bordertopcolor="this" o:borderleftcolor="this" o:borderbottomcolor="this" o:borderrightcolor="this">
            <v:imagedata r:id="rId19" o:title=""/>
            <w10:bordertop type="thinThickSmall" width="24"/>
            <w10:borderleft type="thinThickSmall" width="24"/>
            <w10:borderbottom type="thickThinSmall" width="24"/>
            <w10:borderright type="thickThinSmall" width="24"/>
          </v:shape>
          <o:OLEObject Type="Embed" ProgID="PowerPoint.Slide.12" ShapeID="_x0000_i1031" DrawAspect="Content" ObjectID="_1406475740" r:id="rId20"/>
        </w:object>
      </w:r>
    </w:p>
    <w:p w:rsidR="00EA4130" w:rsidRDefault="00EA4130" w:rsidP="00CA0E66">
      <w:pPr>
        <w:shd w:val="clear" w:color="auto" w:fill="FFFFFF"/>
        <w:spacing w:before="100" w:beforeAutospacing="1" w:after="100" w:afterAutospacing="1"/>
        <w:jc w:val="both"/>
        <w:rPr>
          <w:rFonts w:ascii="Cambria" w:hAnsi="Cambria" w:cs="Calibri"/>
          <w:b/>
          <w:sz w:val="30"/>
          <w:szCs w:val="30"/>
        </w:rPr>
      </w:pPr>
    </w:p>
    <w:p w:rsidR="003D64DE" w:rsidRDefault="00F24E6F" w:rsidP="00EA4130">
      <w:pPr>
        <w:shd w:val="clear" w:color="auto" w:fill="FFFFFF"/>
        <w:spacing w:before="100" w:beforeAutospacing="1" w:after="100" w:afterAutospacing="1" w:line="360" w:lineRule="auto"/>
        <w:jc w:val="both"/>
        <w:rPr>
          <w:rFonts w:ascii="Cambria" w:hAnsi="Cambria" w:cs="Calibri"/>
          <w:b/>
          <w:sz w:val="30"/>
          <w:szCs w:val="30"/>
        </w:rPr>
      </w:pPr>
      <w:r w:rsidRPr="00F24E6F">
        <w:rPr>
          <w:rFonts w:ascii="Cambria" w:hAnsi="Cambria" w:cs="Calibri"/>
          <w:b/>
          <w:sz w:val="30"/>
          <w:szCs w:val="30"/>
        </w:rPr>
        <w:t xml:space="preserve">1.2 </w:t>
      </w:r>
      <w:r>
        <w:rPr>
          <w:rFonts w:ascii="Cambria" w:hAnsi="Cambria" w:cs="Calibri"/>
          <w:b/>
          <w:sz w:val="30"/>
          <w:szCs w:val="30"/>
        </w:rPr>
        <w:t xml:space="preserve"> </w:t>
      </w:r>
      <w:r w:rsidRPr="00F24E6F">
        <w:rPr>
          <w:rFonts w:ascii="Cambria" w:hAnsi="Cambria" w:cs="Calibri"/>
          <w:b/>
          <w:sz w:val="30"/>
          <w:szCs w:val="30"/>
        </w:rPr>
        <w:t xml:space="preserve"> MARCO CONCEPTUAL DE LA CONTABILIDAD GUBERNAMENTAL</w:t>
      </w:r>
    </w:p>
    <w:p w:rsidR="00F24E6F" w:rsidRPr="00EA4130" w:rsidRDefault="00F24E6F" w:rsidP="00EA4130">
      <w:pPr>
        <w:pBdr>
          <w:top w:val="thinThickSmallGap" w:sz="24" w:space="1" w:color="auto"/>
          <w:left w:val="thinThickSmallGap" w:sz="24" w:space="4" w:color="auto"/>
          <w:bottom w:val="thickThinSmallGap" w:sz="24" w:space="1" w:color="auto"/>
          <w:right w:val="thickThinSmallGap" w:sz="24" w:space="4" w:color="auto"/>
        </w:pBdr>
        <w:jc w:val="both"/>
        <w:rPr>
          <w:rFonts w:ascii="Times New Roman" w:hAnsi="Times New Roman"/>
          <w:b/>
          <w:i/>
          <w:color w:val="943634" w:themeColor="accent2" w:themeShade="BF"/>
          <w:sz w:val="28"/>
          <w:szCs w:val="28"/>
          <w:lang w:val="es-MX"/>
        </w:rPr>
      </w:pPr>
      <w:r w:rsidRPr="00EA4130">
        <w:rPr>
          <w:rFonts w:ascii="Times New Roman" w:hAnsi="Times New Roman"/>
          <w:b/>
          <w:sz w:val="28"/>
          <w:szCs w:val="28"/>
          <w:lang w:val="es-MX"/>
        </w:rPr>
        <w:t xml:space="preserve">     </w:t>
      </w:r>
      <w:r w:rsidRPr="00EA4130">
        <w:rPr>
          <w:rFonts w:ascii="Times New Roman" w:hAnsi="Times New Roman"/>
          <w:sz w:val="28"/>
          <w:szCs w:val="28"/>
          <w:lang w:val="es-MX"/>
        </w:rPr>
        <w:t xml:space="preserve">La Contabilidad Gubernamental es </w:t>
      </w:r>
      <w:r w:rsidRPr="00EA4130">
        <w:rPr>
          <w:rFonts w:ascii="Times New Roman" w:hAnsi="Times New Roman"/>
          <w:b/>
          <w:i/>
          <w:color w:val="943634" w:themeColor="accent2" w:themeShade="BF"/>
          <w:sz w:val="28"/>
          <w:szCs w:val="28"/>
          <w:lang w:val="es-MX"/>
        </w:rPr>
        <w:t>una rama de la Teoría General de la Contabilidad</w:t>
      </w:r>
      <w:r w:rsidRPr="00EA4130">
        <w:rPr>
          <w:rFonts w:ascii="Times New Roman" w:hAnsi="Times New Roman"/>
          <w:sz w:val="28"/>
          <w:szCs w:val="28"/>
          <w:lang w:val="es-MX"/>
        </w:rPr>
        <w:t xml:space="preserve"> </w:t>
      </w:r>
      <w:r w:rsidRPr="00EA4130">
        <w:rPr>
          <w:rFonts w:ascii="Times New Roman" w:hAnsi="Times New Roman"/>
          <w:b/>
          <w:i/>
          <w:color w:val="943634" w:themeColor="accent2" w:themeShade="BF"/>
          <w:sz w:val="28"/>
          <w:szCs w:val="28"/>
          <w:lang w:val="es-MX"/>
        </w:rPr>
        <w:t>que se aplica a las organizaciones del sector público, cuya actividad está regulada por un marco constitucional, una base legal y normas técnicas que la caracterizan y la hacen distinta a la que rige para el sector privado.</w:t>
      </w:r>
    </w:p>
    <w:p w:rsidR="00F24E6F" w:rsidRPr="00EA4130" w:rsidRDefault="00F24E6F" w:rsidP="00F24E6F">
      <w:pPr>
        <w:jc w:val="both"/>
        <w:rPr>
          <w:rFonts w:ascii="Times New Roman" w:hAnsi="Times New Roman"/>
          <w:b/>
          <w:i/>
          <w:color w:val="943634" w:themeColor="accent2" w:themeShade="BF"/>
          <w:lang w:val="es-MX"/>
        </w:rPr>
      </w:pPr>
    </w:p>
    <w:p w:rsidR="00EA4130" w:rsidRDefault="00EA4130" w:rsidP="00F24E6F">
      <w:pPr>
        <w:jc w:val="both"/>
        <w:rPr>
          <w:rFonts w:ascii="Times New Roman" w:hAnsi="Times New Roman"/>
          <w:lang w:val="es-MX"/>
        </w:rPr>
      </w:pPr>
    </w:p>
    <w:p w:rsidR="00EA4130" w:rsidRDefault="00F24E6F" w:rsidP="00F24E6F">
      <w:pPr>
        <w:jc w:val="both"/>
        <w:rPr>
          <w:rFonts w:ascii="Times New Roman" w:hAnsi="Times New Roman"/>
          <w:sz w:val="26"/>
          <w:szCs w:val="26"/>
          <w:lang w:val="es-MX"/>
        </w:rPr>
      </w:pPr>
      <w:r w:rsidRPr="00EA4130">
        <w:rPr>
          <w:rFonts w:ascii="Times New Roman" w:hAnsi="Times New Roman"/>
          <w:sz w:val="26"/>
          <w:szCs w:val="26"/>
          <w:lang w:val="es-MX"/>
        </w:rPr>
        <w:t xml:space="preserve">  </w:t>
      </w:r>
    </w:p>
    <w:p w:rsidR="00F24E6F" w:rsidRPr="001F3189" w:rsidRDefault="00F24E6F" w:rsidP="00F24E6F">
      <w:pPr>
        <w:jc w:val="both"/>
        <w:rPr>
          <w:rFonts w:ascii="Times New Roman" w:hAnsi="Times New Roman"/>
          <w:b/>
          <w:sz w:val="26"/>
          <w:szCs w:val="26"/>
          <w:lang w:val="es-MX"/>
        </w:rPr>
      </w:pPr>
      <w:r w:rsidRPr="00EA4130">
        <w:rPr>
          <w:rFonts w:ascii="Times New Roman" w:hAnsi="Times New Roman"/>
          <w:sz w:val="26"/>
          <w:szCs w:val="26"/>
          <w:lang w:val="es-MX"/>
        </w:rPr>
        <w:t xml:space="preserve">   </w:t>
      </w:r>
      <w:r w:rsidRPr="001F3189">
        <w:rPr>
          <w:rFonts w:ascii="Times New Roman" w:hAnsi="Times New Roman"/>
          <w:b/>
          <w:sz w:val="26"/>
          <w:szCs w:val="26"/>
          <w:lang w:val="es-MX"/>
        </w:rPr>
        <w:t>Las principales diferencias conceptuales, normativas y técnicas entre la contabilidad gubernamental y la del sector p</w:t>
      </w:r>
      <w:r w:rsidR="00EA4130" w:rsidRPr="001F3189">
        <w:rPr>
          <w:rFonts w:ascii="Times New Roman" w:hAnsi="Times New Roman"/>
          <w:b/>
          <w:sz w:val="26"/>
          <w:szCs w:val="26"/>
          <w:lang w:val="es-MX"/>
        </w:rPr>
        <w:t>rivado</w:t>
      </w:r>
      <w:r w:rsidRPr="001F3189">
        <w:rPr>
          <w:rFonts w:ascii="Times New Roman" w:hAnsi="Times New Roman"/>
          <w:b/>
          <w:sz w:val="26"/>
          <w:szCs w:val="26"/>
          <w:lang w:val="es-MX"/>
        </w:rPr>
        <w:t xml:space="preserve"> son las siguientes: </w:t>
      </w:r>
    </w:p>
    <w:p w:rsidR="00EA4130" w:rsidRPr="00EA4130" w:rsidRDefault="00EA4130" w:rsidP="00F24E6F">
      <w:pPr>
        <w:jc w:val="both"/>
        <w:rPr>
          <w:rFonts w:ascii="Times New Roman" w:hAnsi="Times New Roman"/>
          <w:sz w:val="26"/>
          <w:szCs w:val="26"/>
          <w:lang w:val="es-MX"/>
        </w:rPr>
      </w:pPr>
    </w:p>
    <w:p w:rsidR="00F24E6F" w:rsidRDefault="00F24E6F" w:rsidP="00EA4130">
      <w:pPr>
        <w:pStyle w:val="Prrafodelista"/>
        <w:numPr>
          <w:ilvl w:val="0"/>
          <w:numId w:val="20"/>
        </w:numPr>
        <w:ind w:left="958" w:hanging="357"/>
        <w:jc w:val="both"/>
        <w:rPr>
          <w:rFonts w:ascii="Times New Roman" w:hAnsi="Times New Roman"/>
          <w:sz w:val="26"/>
          <w:szCs w:val="26"/>
          <w:lang w:val="es-MX"/>
        </w:rPr>
      </w:pPr>
      <w:r w:rsidRPr="00EA4130">
        <w:rPr>
          <w:rFonts w:ascii="Times New Roman" w:hAnsi="Times New Roman"/>
          <w:sz w:val="26"/>
          <w:szCs w:val="26"/>
          <w:lang w:val="es-MX"/>
        </w:rPr>
        <w:t xml:space="preserve">El objeto de la contabilidad gubernamental es contribuir entre otras a la economía de la hacienda pública; en tanto que, el de las entidades del sector privado está orientada a la economía de la organización. </w:t>
      </w:r>
    </w:p>
    <w:p w:rsidR="00EA4130" w:rsidRPr="00EA4130" w:rsidRDefault="00EA4130" w:rsidP="00EA4130">
      <w:pPr>
        <w:spacing w:after="200" w:line="276" w:lineRule="auto"/>
        <w:ind w:left="600"/>
        <w:jc w:val="both"/>
        <w:rPr>
          <w:rFonts w:ascii="Times New Roman" w:hAnsi="Times New Roman"/>
          <w:sz w:val="26"/>
          <w:szCs w:val="26"/>
          <w:lang w:val="es-MX"/>
        </w:rPr>
      </w:pPr>
    </w:p>
    <w:p w:rsidR="00F24E6F" w:rsidRDefault="00F24E6F" w:rsidP="00F24E6F">
      <w:pPr>
        <w:pStyle w:val="Prrafodelista"/>
        <w:numPr>
          <w:ilvl w:val="0"/>
          <w:numId w:val="20"/>
        </w:numPr>
        <w:spacing w:after="200" w:line="276" w:lineRule="auto"/>
        <w:jc w:val="both"/>
        <w:rPr>
          <w:rFonts w:ascii="Times New Roman" w:hAnsi="Times New Roman"/>
          <w:sz w:val="26"/>
          <w:szCs w:val="26"/>
          <w:lang w:val="es-MX"/>
        </w:rPr>
      </w:pPr>
      <w:r w:rsidRPr="00EA4130">
        <w:rPr>
          <w:rFonts w:ascii="Times New Roman" w:hAnsi="Times New Roman"/>
          <w:sz w:val="26"/>
          <w:szCs w:val="26"/>
          <w:lang w:val="es-MX"/>
        </w:rPr>
        <w:t xml:space="preserve">El presupuesto para los entes públicos representa responsabilidades formales y legales, siendo el documento esencial en la asignación, administración y control de recursos; mientras que, en las entidades privadas tiene características estimativas y orientadoras de su funcionamiento. </w:t>
      </w:r>
    </w:p>
    <w:p w:rsidR="00EA4130" w:rsidRPr="00EA4130" w:rsidRDefault="00EA4130" w:rsidP="00EA4130">
      <w:pPr>
        <w:pStyle w:val="Prrafodelista"/>
        <w:rPr>
          <w:rFonts w:ascii="Times New Roman" w:hAnsi="Times New Roman"/>
          <w:sz w:val="26"/>
          <w:szCs w:val="26"/>
          <w:lang w:val="es-MX"/>
        </w:rPr>
      </w:pPr>
    </w:p>
    <w:p w:rsidR="00EA4130" w:rsidRPr="00EA4130" w:rsidRDefault="00F24E6F" w:rsidP="00EA4130">
      <w:pPr>
        <w:pStyle w:val="Prrafodelista"/>
        <w:numPr>
          <w:ilvl w:val="0"/>
          <w:numId w:val="20"/>
        </w:numPr>
        <w:ind w:left="958" w:hanging="357"/>
        <w:jc w:val="both"/>
        <w:rPr>
          <w:rFonts w:ascii="Times New Roman" w:hAnsi="Times New Roman"/>
          <w:sz w:val="26"/>
          <w:szCs w:val="26"/>
          <w:lang w:val="es-MX"/>
        </w:rPr>
      </w:pPr>
      <w:r w:rsidRPr="00EA4130">
        <w:rPr>
          <w:rFonts w:ascii="Times New Roman" w:hAnsi="Times New Roman"/>
          <w:sz w:val="26"/>
          <w:szCs w:val="26"/>
          <w:lang w:val="es-MX"/>
        </w:rPr>
        <w:t>El proceso de fiscalización de las cuentas públicas está a cargo de los Congresos o Asambleas a través de sus órganos técnicos, en calidad de representantes de la ciudadanía y constituye un ejercicio público de rendición de cuentas. En el ámbito privado la función de control varía según el tipo de organización, sin superar el Consejo de Administración, nombrado por la Asamblea General de Accionistas y nunca involucra representantes populares.</w:t>
      </w:r>
    </w:p>
    <w:p w:rsidR="00EA4130" w:rsidRPr="00EA4130" w:rsidRDefault="00EA4130" w:rsidP="00EA4130">
      <w:pPr>
        <w:spacing w:after="200" w:line="276" w:lineRule="auto"/>
        <w:ind w:left="600"/>
        <w:jc w:val="both"/>
        <w:rPr>
          <w:rFonts w:ascii="Times New Roman" w:hAnsi="Times New Roman"/>
          <w:sz w:val="26"/>
          <w:szCs w:val="26"/>
          <w:lang w:val="es-MX"/>
        </w:rPr>
      </w:pPr>
    </w:p>
    <w:p w:rsidR="00F24E6F" w:rsidRDefault="00F24E6F" w:rsidP="00F24E6F">
      <w:pPr>
        <w:pStyle w:val="Prrafodelista"/>
        <w:numPr>
          <w:ilvl w:val="0"/>
          <w:numId w:val="20"/>
        </w:numPr>
        <w:spacing w:after="200" w:line="276" w:lineRule="auto"/>
        <w:jc w:val="both"/>
        <w:rPr>
          <w:rFonts w:ascii="Times New Roman" w:hAnsi="Times New Roman"/>
          <w:sz w:val="26"/>
          <w:szCs w:val="26"/>
          <w:lang w:val="es-MX"/>
        </w:rPr>
      </w:pPr>
      <w:r w:rsidRPr="00EA4130">
        <w:rPr>
          <w:rFonts w:ascii="Times New Roman" w:hAnsi="Times New Roman"/>
          <w:sz w:val="26"/>
          <w:szCs w:val="26"/>
          <w:lang w:val="es-MX"/>
        </w:rPr>
        <w:t xml:space="preserve">La información financiera del sector público es presentada con estricto apego al cumplimiento de la Ley y, en general, sus estados financieros se orientan a informar si la ejecución del presupuesto y de otros movimientos financieros se realizaron dentro de los parámetros legales y técnicos autorizados; mientras que los de la contabilidad empresarial informan sobre la marcha del negocio, su </w:t>
      </w:r>
      <w:r w:rsidRPr="00EA4130">
        <w:rPr>
          <w:rFonts w:ascii="Times New Roman" w:hAnsi="Times New Roman"/>
          <w:sz w:val="26"/>
          <w:szCs w:val="26"/>
          <w:lang w:val="es-MX"/>
        </w:rPr>
        <w:lastRenderedPageBreak/>
        <w:t>solvencia, y la capacidad de resarcir y retribuir a los propietarios su inversión a través de reembolso o rendimientos.</w:t>
      </w:r>
    </w:p>
    <w:p w:rsidR="00EA4130" w:rsidRPr="00EA4130" w:rsidRDefault="00EA4130" w:rsidP="00EA4130">
      <w:pPr>
        <w:pStyle w:val="Prrafodelista"/>
        <w:rPr>
          <w:rFonts w:ascii="Times New Roman" w:hAnsi="Times New Roman"/>
          <w:sz w:val="26"/>
          <w:szCs w:val="26"/>
          <w:lang w:val="es-MX"/>
        </w:rPr>
      </w:pPr>
    </w:p>
    <w:p w:rsidR="00F24E6F" w:rsidRPr="00EA4130" w:rsidRDefault="00F24E6F" w:rsidP="00F24E6F">
      <w:pPr>
        <w:pStyle w:val="Prrafodelista"/>
        <w:numPr>
          <w:ilvl w:val="0"/>
          <w:numId w:val="20"/>
        </w:numPr>
        <w:spacing w:after="200" w:line="276" w:lineRule="auto"/>
        <w:jc w:val="both"/>
        <w:rPr>
          <w:rFonts w:ascii="Times New Roman" w:hAnsi="Times New Roman"/>
          <w:sz w:val="26"/>
          <w:szCs w:val="26"/>
          <w:lang w:val="es-MX"/>
        </w:rPr>
      </w:pPr>
      <w:r w:rsidRPr="00EA4130">
        <w:rPr>
          <w:rFonts w:ascii="Times New Roman" w:hAnsi="Times New Roman"/>
          <w:sz w:val="26"/>
          <w:szCs w:val="26"/>
          <w:lang w:val="es-MX"/>
        </w:rPr>
        <w:t>La información generada por la contabilidad gubernamental es de dominio público, integra el registro de operaciones económicas realizadas con recursos de la sociedad y como tal, informan los resultados de la gestión pública. En la empresa privada es potestad de su estructura organizativa, divulgar los resultados de sus operaciones y el interés se limita a los directamente involucrados con la propiedad de dicha empresa, excepto de las que cotizan en la Bolsa Mexicana de Valores.</w:t>
      </w:r>
    </w:p>
    <w:p w:rsidR="00F24E6F" w:rsidRPr="001F3189" w:rsidRDefault="00F24E6F" w:rsidP="00F24E6F">
      <w:pPr>
        <w:ind w:left="240"/>
        <w:jc w:val="both"/>
        <w:rPr>
          <w:rFonts w:ascii="Times New Roman" w:hAnsi="Times New Roman"/>
          <w:b/>
          <w:i/>
          <w:color w:val="943634" w:themeColor="accent2" w:themeShade="BF"/>
          <w:sz w:val="26"/>
          <w:szCs w:val="26"/>
          <w:lang w:val="es-MX"/>
        </w:rPr>
      </w:pPr>
      <w:r w:rsidRPr="001F3189">
        <w:rPr>
          <w:rFonts w:ascii="Times New Roman" w:hAnsi="Times New Roman"/>
          <w:b/>
          <w:i/>
          <w:color w:val="943634" w:themeColor="accent2" w:themeShade="BF"/>
          <w:sz w:val="26"/>
          <w:szCs w:val="26"/>
          <w:lang w:val="es-MX"/>
        </w:rPr>
        <w:t>Con las excepciones anteriores, tanto la teoría general de la contabilidad como las normas sobre información financiera que se utilizan para las actividades del sector privado son válidas para la contabilidad gubernamental.</w:t>
      </w:r>
    </w:p>
    <w:p w:rsidR="00EA4130" w:rsidRDefault="00EA4130" w:rsidP="00F24E6F">
      <w:pPr>
        <w:ind w:left="240"/>
        <w:jc w:val="both"/>
        <w:rPr>
          <w:rFonts w:ascii="Times New Roman" w:hAnsi="Times New Roman"/>
          <w:sz w:val="26"/>
          <w:szCs w:val="26"/>
          <w:lang w:val="es-MX"/>
        </w:rPr>
      </w:pPr>
    </w:p>
    <w:p w:rsidR="00EA4130" w:rsidRDefault="00EA4130" w:rsidP="00F24E6F">
      <w:pPr>
        <w:ind w:left="240"/>
        <w:jc w:val="both"/>
        <w:rPr>
          <w:rFonts w:ascii="Times New Roman" w:hAnsi="Times New Roman"/>
          <w:sz w:val="26"/>
          <w:szCs w:val="26"/>
          <w:lang w:val="es-MX"/>
        </w:rPr>
      </w:pPr>
    </w:p>
    <w:p w:rsidR="000E3439" w:rsidRDefault="000E3439" w:rsidP="00F24E6F">
      <w:pPr>
        <w:ind w:left="240"/>
        <w:jc w:val="both"/>
        <w:rPr>
          <w:rFonts w:ascii="Times New Roman" w:hAnsi="Times New Roman"/>
          <w:sz w:val="26"/>
          <w:szCs w:val="26"/>
          <w:lang w:val="es-MX"/>
        </w:rPr>
      </w:pPr>
    </w:p>
    <w:p w:rsidR="000E3439" w:rsidRDefault="000E3439" w:rsidP="00F24E6F">
      <w:pPr>
        <w:ind w:left="240"/>
        <w:jc w:val="both"/>
        <w:rPr>
          <w:rFonts w:ascii="Times New Roman" w:hAnsi="Times New Roman"/>
          <w:sz w:val="26"/>
          <w:szCs w:val="26"/>
          <w:lang w:val="es-MX"/>
        </w:rPr>
      </w:pPr>
    </w:p>
    <w:p w:rsidR="000E3439" w:rsidRDefault="005156A5" w:rsidP="005156A5">
      <w:pPr>
        <w:pBdr>
          <w:top w:val="triple" w:sz="4" w:space="1" w:color="auto"/>
          <w:left w:val="triple" w:sz="4" w:space="4" w:color="auto"/>
          <w:bottom w:val="triple" w:sz="4" w:space="1" w:color="auto"/>
          <w:right w:val="triple" w:sz="4" w:space="4" w:color="auto"/>
        </w:pBdr>
        <w:ind w:left="240"/>
        <w:jc w:val="both"/>
        <w:rPr>
          <w:rFonts w:ascii="Times New Roman" w:hAnsi="Times New Roman"/>
          <w:sz w:val="26"/>
          <w:szCs w:val="26"/>
          <w:lang w:val="es-MX"/>
        </w:rPr>
      </w:pPr>
      <w:r w:rsidRPr="005156A5">
        <w:rPr>
          <w:rFonts w:ascii="Times New Roman" w:hAnsi="Times New Roman"/>
          <w:sz w:val="22"/>
          <w:szCs w:val="22"/>
          <w:lang w:val="es-MX" w:eastAsia="es-MX"/>
        </w:rPr>
        <w:object w:dxaOrig="7191" w:dyaOrig="5402">
          <v:shape id="_x0000_i1032" type="#_x0000_t75" style="width:461.25pt;height:294.75pt" o:ole="">
            <v:imagedata r:id="rId21" o:title=""/>
          </v:shape>
          <o:OLEObject Type="Embed" ProgID="PowerPoint.Slide.12" ShapeID="_x0000_i1032" DrawAspect="Content" ObjectID="_1406475741" r:id="rId22"/>
        </w:object>
      </w:r>
    </w:p>
    <w:p w:rsidR="000E3439" w:rsidRDefault="000E3439" w:rsidP="00F24E6F">
      <w:pPr>
        <w:ind w:left="240"/>
        <w:jc w:val="both"/>
        <w:rPr>
          <w:rFonts w:ascii="Times New Roman" w:hAnsi="Times New Roman"/>
          <w:sz w:val="26"/>
          <w:szCs w:val="26"/>
          <w:lang w:val="es-MX"/>
        </w:rPr>
      </w:pPr>
    </w:p>
    <w:p w:rsidR="000E3439" w:rsidRDefault="000E3439" w:rsidP="00F24E6F">
      <w:pPr>
        <w:ind w:left="240"/>
        <w:jc w:val="both"/>
        <w:rPr>
          <w:rFonts w:ascii="Times New Roman" w:hAnsi="Times New Roman"/>
          <w:sz w:val="26"/>
          <w:szCs w:val="26"/>
          <w:lang w:val="es-MX"/>
        </w:rPr>
      </w:pPr>
    </w:p>
    <w:p w:rsidR="00F24E6F" w:rsidRPr="001F3189"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b/>
          <w:sz w:val="26"/>
          <w:szCs w:val="26"/>
          <w:u w:val="single"/>
          <w:lang w:val="es-MX"/>
        </w:rPr>
      </w:pPr>
      <w:r w:rsidRPr="001F3189">
        <w:rPr>
          <w:rFonts w:ascii="Times New Roman" w:hAnsi="Times New Roman"/>
          <w:b/>
          <w:sz w:val="26"/>
          <w:szCs w:val="26"/>
          <w:u w:val="single"/>
          <w:lang w:val="es-MX"/>
        </w:rPr>
        <w:lastRenderedPageBreak/>
        <w:t>El Sistema de Contabilidad Gubernamental.</w:t>
      </w:r>
    </w:p>
    <w:p w:rsidR="00F24E6F" w:rsidRPr="001F3189"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b/>
          <w:sz w:val="26"/>
          <w:szCs w:val="26"/>
          <w:lang w:val="es-MX"/>
        </w:rPr>
      </w:pPr>
    </w:p>
    <w:p w:rsidR="001F3189" w:rsidRPr="001F3189"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6"/>
          <w:szCs w:val="26"/>
          <w:lang w:val="es-MX"/>
        </w:rPr>
      </w:pPr>
      <w:r w:rsidRPr="001F3189">
        <w:rPr>
          <w:rFonts w:ascii="Times New Roman" w:hAnsi="Times New Roman"/>
          <w:sz w:val="26"/>
          <w:szCs w:val="26"/>
          <w:lang w:val="es-MX"/>
        </w:rPr>
        <w:t xml:space="preserve">     El Sistema de Contabilidad Gubernamental (SCG) está conformado por el conjunto de registros, procedimientos, criterios e informes estructurados sobre la base de principios técnicos comunes destinados a captar, valuar, registrar, procesar, exponer e interpretar en forma sistemática, las transacciones, transformaciones y eventos identificables que, derivados de la actividad económica y expresados en términos monetarios, modifican la situación patrimonial de los entes públicos en particular y de las finanzas públicas en general. </w:t>
      </w:r>
    </w:p>
    <w:p w:rsidR="001F3189" w:rsidRPr="001F3189" w:rsidRDefault="001F3189"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6"/>
          <w:szCs w:val="26"/>
          <w:lang w:val="es-MX"/>
        </w:rPr>
      </w:pPr>
    </w:p>
    <w:p w:rsidR="00F24E6F" w:rsidRPr="001F3189"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6"/>
          <w:szCs w:val="26"/>
          <w:lang w:val="es-MX"/>
        </w:rPr>
      </w:pPr>
      <w:r w:rsidRPr="001F3189">
        <w:rPr>
          <w:rFonts w:ascii="Times New Roman" w:hAnsi="Times New Roman"/>
          <w:sz w:val="26"/>
          <w:szCs w:val="26"/>
          <w:lang w:val="es-MX"/>
        </w:rPr>
        <w:t>El SCG, al que deberán sujetarse los entes públicos, registrará de manera armónica, delimitada y específica las operaciones presupuestarias y contables derivadas de la gestión pública, así como otros flujos económicos. De igual forma, generará periódicamente estados financieros de los entes públicos, confiables, oportunos, comprensibles, periódicos y comparables, expresados en términos monetarios.</w:t>
      </w:r>
    </w:p>
    <w:p w:rsidR="001F3189" w:rsidRPr="001F3189" w:rsidRDefault="001F3189"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6"/>
          <w:szCs w:val="26"/>
          <w:lang w:val="es-MX"/>
        </w:rPr>
      </w:pPr>
    </w:p>
    <w:p w:rsidR="001F3189" w:rsidRPr="001F3189"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6"/>
          <w:szCs w:val="26"/>
          <w:lang w:val="es-MX"/>
        </w:rPr>
      </w:pPr>
      <w:r w:rsidRPr="001F3189">
        <w:rPr>
          <w:rFonts w:ascii="Times New Roman" w:hAnsi="Times New Roman"/>
          <w:b/>
          <w:sz w:val="26"/>
          <w:szCs w:val="26"/>
          <w:lang w:val="es-MX"/>
        </w:rPr>
        <w:t xml:space="preserve">     El Artículo 34 de la Ley de Contabilidad establece que</w:t>
      </w:r>
      <w:r w:rsidRPr="001F3189">
        <w:rPr>
          <w:rFonts w:ascii="Times New Roman" w:hAnsi="Times New Roman"/>
          <w:sz w:val="26"/>
          <w:szCs w:val="26"/>
          <w:lang w:val="es-MX"/>
        </w:rPr>
        <w:t xml:space="preserve"> </w:t>
      </w:r>
      <w:r w:rsidRPr="001F3189">
        <w:rPr>
          <w:rFonts w:ascii="Times New Roman" w:hAnsi="Times New Roman"/>
          <w:b/>
          <w:i/>
          <w:color w:val="C00000"/>
          <w:sz w:val="26"/>
          <w:szCs w:val="26"/>
          <w:lang w:val="es-MX"/>
        </w:rPr>
        <w:t>“Los registros contables de los entes públicos se llevarán con base acumulativa”;</w:t>
      </w:r>
      <w:r w:rsidRPr="001F3189">
        <w:rPr>
          <w:rFonts w:ascii="Times New Roman" w:hAnsi="Times New Roman"/>
          <w:sz w:val="26"/>
          <w:szCs w:val="26"/>
          <w:lang w:val="es-MX"/>
        </w:rPr>
        <w:t xml:space="preserve"> es decir que, </w:t>
      </w:r>
      <w:r w:rsidRPr="001F3189">
        <w:rPr>
          <w:rFonts w:ascii="Times New Roman" w:hAnsi="Times New Roman"/>
          <w:i/>
          <w:sz w:val="26"/>
          <w:szCs w:val="26"/>
          <w:lang w:val="es-MX"/>
        </w:rPr>
        <w:t>“la contabilización de las transacciones de gasto se hará conforme a la fecha de su realización, independientemente de la de su pago, y la del ingreso se registrará cuando exista jurídicamente el derecho de cobro.”</w:t>
      </w:r>
    </w:p>
    <w:p w:rsidR="005156A5" w:rsidRDefault="005156A5" w:rsidP="00F24E6F">
      <w:pPr>
        <w:ind w:left="240"/>
        <w:jc w:val="both"/>
        <w:rPr>
          <w:rFonts w:ascii="Times New Roman" w:hAnsi="Times New Roman"/>
          <w:sz w:val="22"/>
          <w:szCs w:val="22"/>
          <w:lang w:val="es-MX" w:eastAsia="es-MX"/>
        </w:rPr>
      </w:pPr>
    </w:p>
    <w:p w:rsidR="001F3189" w:rsidRDefault="000E3439" w:rsidP="00F24E6F">
      <w:pPr>
        <w:ind w:left="240"/>
        <w:jc w:val="both"/>
        <w:rPr>
          <w:rFonts w:ascii="Times New Roman" w:hAnsi="Times New Roman"/>
          <w:sz w:val="26"/>
          <w:szCs w:val="26"/>
          <w:lang w:val="es-MX"/>
        </w:rPr>
      </w:pPr>
      <w:r w:rsidRPr="000E3439">
        <w:rPr>
          <w:rFonts w:ascii="Times New Roman" w:hAnsi="Times New Roman"/>
          <w:sz w:val="22"/>
          <w:szCs w:val="22"/>
          <w:lang w:val="es-MX" w:eastAsia="es-MX"/>
        </w:rPr>
        <w:object w:dxaOrig="7191" w:dyaOrig="5402">
          <v:shape id="_x0000_i1033" type="#_x0000_t75" style="width:456.75pt;height:268.5pt" o:ole="" o:bordertopcolor="this" o:borderleftcolor="this" o:borderbottomcolor="this" o:borderrightcolor="this">
            <v:imagedata r:id="rId23" o:title=""/>
            <w10:bordertop type="thickThinSmall" width="24"/>
            <w10:borderleft type="thickThinSmall" width="24"/>
            <w10:borderbottom type="thinThickSmall" width="24"/>
            <w10:borderright type="thinThickSmall" width="24"/>
          </v:shape>
          <o:OLEObject Type="Embed" ProgID="PowerPoint.Slide.12" ShapeID="_x0000_i1033" DrawAspect="Content" ObjectID="_1406475742" r:id="rId24"/>
        </w:object>
      </w:r>
    </w:p>
    <w:p w:rsidR="000E3439" w:rsidRDefault="000E3439" w:rsidP="00F24E6F">
      <w:pPr>
        <w:ind w:left="240"/>
        <w:jc w:val="both"/>
        <w:rPr>
          <w:rFonts w:ascii="Times New Roman" w:hAnsi="Times New Roman"/>
          <w:sz w:val="26"/>
          <w:szCs w:val="26"/>
          <w:lang w:val="es-MX"/>
        </w:rPr>
      </w:pPr>
    </w:p>
    <w:p w:rsidR="002B738B" w:rsidRDefault="002B738B" w:rsidP="00F24E6F">
      <w:pPr>
        <w:ind w:left="240"/>
        <w:jc w:val="both"/>
        <w:rPr>
          <w:rFonts w:ascii="Times New Roman" w:hAnsi="Times New Roman"/>
          <w:sz w:val="26"/>
          <w:szCs w:val="26"/>
          <w:lang w:val="es-MX"/>
        </w:rPr>
      </w:pPr>
    </w:p>
    <w:p w:rsidR="00F24E6F" w:rsidRPr="001F3189" w:rsidRDefault="00F24E6F" w:rsidP="00F24E6F">
      <w:pPr>
        <w:ind w:left="240"/>
        <w:jc w:val="both"/>
        <w:rPr>
          <w:rFonts w:ascii="Times New Roman" w:hAnsi="Times New Roman"/>
          <w:sz w:val="26"/>
          <w:szCs w:val="26"/>
          <w:lang w:val="es-MX"/>
        </w:rPr>
      </w:pPr>
      <w:r w:rsidRPr="001F3189">
        <w:rPr>
          <w:rFonts w:ascii="Times New Roman" w:hAnsi="Times New Roman"/>
          <w:sz w:val="26"/>
          <w:szCs w:val="26"/>
          <w:lang w:val="es-MX"/>
        </w:rPr>
        <w:t xml:space="preserve">  </w:t>
      </w:r>
    </w:p>
    <w:p w:rsidR="00F24E6F" w:rsidRPr="00CC74EE" w:rsidRDefault="00F24E6F"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32"/>
          <w:szCs w:val="32"/>
          <w:lang w:val="es-MX"/>
        </w:rPr>
      </w:pPr>
      <w:r w:rsidRPr="00CC74EE">
        <w:rPr>
          <w:rFonts w:ascii="Times New Roman" w:hAnsi="Times New Roman"/>
          <w:b/>
          <w:sz w:val="32"/>
          <w:szCs w:val="32"/>
          <w:lang w:val="es-MX"/>
        </w:rPr>
        <w:t xml:space="preserve">El CONAC mediante la aprobación del Marco Conceptual </w:t>
      </w:r>
      <w:r w:rsidRPr="00CC74EE">
        <w:rPr>
          <w:rFonts w:ascii="Times New Roman" w:hAnsi="Times New Roman"/>
          <w:b/>
          <w:i/>
          <w:color w:val="C00000"/>
          <w:sz w:val="32"/>
          <w:szCs w:val="32"/>
          <w:lang w:val="es-MX"/>
        </w:rPr>
        <w:t>ha establecido como objetivos del Sistema de Contabilidad Gubernamental (SCG) los siguientes</w:t>
      </w:r>
      <w:r w:rsidRPr="00CC74EE">
        <w:rPr>
          <w:rFonts w:ascii="Times New Roman" w:hAnsi="Times New Roman"/>
          <w:sz w:val="32"/>
          <w:szCs w:val="32"/>
          <w:lang w:val="es-MX"/>
        </w:rPr>
        <w:t>:</w:t>
      </w:r>
    </w:p>
    <w:p w:rsidR="001F3189" w:rsidRPr="00CC74EE" w:rsidRDefault="001F3189" w:rsidP="001F3189">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32"/>
          <w:szCs w:val="32"/>
          <w:lang w:val="es-MX"/>
        </w:rPr>
      </w:pP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Facilitar la toma de decisiones con información veraz, oportuna y confiable, tendiente a optimizar el manejo de los recursos;</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Emitir, integrar y consolidar los estados financieros, así como producir reportes de todas las operaciones de la Administración Pública;</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Permitir la adopción de políticas para el manejo eficiente del gasto, orientado al cumplimiento de los fines y objetivos del ente público;</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Registrar de manera automática, armónica, delimitada, específica y en tiempo real las operaciones contables y presupuestarias propiciando, con ello, el registro único, simultáneo y homogéneo;</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Atender requerimientos de información de los usuarios en general sobre las finanzas públicas;</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Facilitar el reconocimiento, registro, seguimiento, evaluación y fiscalización de las operaciones de ingresos, gastos, activos, pasivos y patrimoniales de los entes públicos, así como su extinción;</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Dar soporte técnico-documental a los registros financieros para su seguimiento, evaluación y fiscalización;</w:t>
      </w:r>
    </w:p>
    <w:p w:rsidR="00F24E6F" w:rsidRPr="00CC74EE" w:rsidRDefault="00F24E6F" w:rsidP="001F3189">
      <w:pPr>
        <w:pStyle w:val="Prrafodelista"/>
        <w:numPr>
          <w:ilvl w:val="0"/>
          <w:numId w:val="21"/>
        </w:numPr>
        <w:pBdr>
          <w:top w:val="thinThickSmallGap" w:sz="24" w:space="1" w:color="auto"/>
          <w:left w:val="thinThickSmallGap" w:sz="24" w:space="4" w:color="auto"/>
          <w:bottom w:val="thickThinSmallGap" w:sz="24" w:space="1" w:color="auto"/>
          <w:right w:val="thickThinSmallGap" w:sz="24" w:space="4" w:color="auto"/>
        </w:pBdr>
        <w:spacing w:after="200" w:line="276" w:lineRule="auto"/>
        <w:jc w:val="both"/>
        <w:rPr>
          <w:rFonts w:ascii="Times New Roman" w:hAnsi="Times New Roman"/>
          <w:sz w:val="32"/>
          <w:szCs w:val="32"/>
          <w:lang w:val="es-MX"/>
        </w:rPr>
      </w:pPr>
      <w:r w:rsidRPr="00CC74EE">
        <w:rPr>
          <w:rFonts w:ascii="Times New Roman" w:hAnsi="Times New Roman"/>
          <w:sz w:val="32"/>
          <w:szCs w:val="32"/>
          <w:lang w:val="es-MX"/>
        </w:rPr>
        <w:t>Permitir una efectiva transparencia en la rendición de cuentas.</w:t>
      </w:r>
    </w:p>
    <w:p w:rsidR="00F24E6F" w:rsidRPr="001F3189" w:rsidRDefault="00F24E6F" w:rsidP="00CA0E66">
      <w:pPr>
        <w:shd w:val="clear" w:color="auto" w:fill="FFFFFF"/>
        <w:spacing w:before="100" w:beforeAutospacing="1" w:after="100" w:afterAutospacing="1"/>
        <w:jc w:val="both"/>
        <w:rPr>
          <w:rFonts w:ascii="Cambria" w:hAnsi="Cambria" w:cs="Calibri"/>
          <w:b/>
          <w:sz w:val="26"/>
          <w:szCs w:val="26"/>
          <w:lang w:val="es-MX"/>
        </w:rPr>
      </w:pPr>
    </w:p>
    <w:p w:rsidR="00CC74EE" w:rsidRDefault="00CC74EE" w:rsidP="00F24E6F">
      <w:pPr>
        <w:ind w:left="240"/>
        <w:jc w:val="both"/>
        <w:rPr>
          <w:rFonts w:ascii="Times New Roman" w:hAnsi="Times New Roman"/>
          <w:b/>
          <w:sz w:val="28"/>
          <w:szCs w:val="28"/>
          <w:lang w:val="es-MX"/>
        </w:rPr>
      </w:pPr>
    </w:p>
    <w:p w:rsidR="002D66EA" w:rsidRPr="00CC74EE"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b/>
          <w:sz w:val="28"/>
          <w:szCs w:val="28"/>
          <w:lang w:val="es-MX"/>
        </w:rPr>
        <w:t>El Marco Conceptual de Contabilidad Gubernamental (MGCG</w:t>
      </w:r>
      <w:r w:rsidRPr="00CC74EE">
        <w:rPr>
          <w:rFonts w:ascii="Times New Roman" w:hAnsi="Times New Roman"/>
          <w:sz w:val="28"/>
          <w:szCs w:val="28"/>
          <w:lang w:val="es-MX"/>
        </w:rPr>
        <w:t xml:space="preserve">), </w:t>
      </w:r>
      <w:r w:rsidRPr="00CC74EE">
        <w:rPr>
          <w:rFonts w:ascii="Times New Roman" w:hAnsi="Times New Roman"/>
          <w:b/>
          <w:i/>
          <w:color w:val="C00000"/>
          <w:sz w:val="28"/>
          <w:szCs w:val="28"/>
          <w:lang w:val="es-MX"/>
        </w:rPr>
        <w:t>desarrolla los aspectos básicos del SCG  para los entes públicos, erigiéndose en la referencia teórica que define, delimita, interrelaciona e integra de forma lógica-deductiva sus objetivos y fundamentos.</w:t>
      </w:r>
      <w:r w:rsidRPr="00CC74EE">
        <w:rPr>
          <w:rFonts w:ascii="Times New Roman" w:hAnsi="Times New Roman"/>
          <w:sz w:val="28"/>
          <w:szCs w:val="28"/>
          <w:lang w:val="es-MX"/>
        </w:rPr>
        <w:t xml:space="preserve"> </w:t>
      </w:r>
    </w:p>
    <w:p w:rsidR="002D66EA" w:rsidRPr="00CC74EE" w:rsidRDefault="002D66EA"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Pr="00CC74EE"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sz w:val="28"/>
          <w:szCs w:val="28"/>
          <w:lang w:val="es-MX"/>
        </w:rPr>
        <w:t>Además establece los criterios necesarios para el desarrollo de normas, valuación, contabilización, obtención y presentación de la información contable, presupuestaria y económica, en forma clara, oportuna, confiable y comparable, para satisfacer las necesidades de los usuarios.</w:t>
      </w:r>
    </w:p>
    <w:p w:rsidR="002D66EA" w:rsidRPr="00CC74EE" w:rsidRDefault="002D66EA" w:rsidP="00F24E6F">
      <w:pPr>
        <w:ind w:left="240"/>
        <w:jc w:val="both"/>
        <w:rPr>
          <w:rFonts w:ascii="Times New Roman" w:hAnsi="Times New Roman"/>
          <w:sz w:val="28"/>
          <w:szCs w:val="28"/>
          <w:lang w:val="es-MX"/>
        </w:rPr>
      </w:pPr>
    </w:p>
    <w:p w:rsidR="00CC74EE" w:rsidRPr="00CC74EE" w:rsidRDefault="00CC74EE" w:rsidP="00F24E6F">
      <w:pPr>
        <w:ind w:left="240"/>
        <w:jc w:val="both"/>
        <w:rPr>
          <w:rFonts w:ascii="Times New Roman" w:hAnsi="Times New Roman"/>
          <w:sz w:val="28"/>
          <w:szCs w:val="28"/>
          <w:lang w:val="es-MX"/>
        </w:rPr>
      </w:pPr>
    </w:p>
    <w:p w:rsidR="00F24E6F" w:rsidRPr="00CC74EE"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b/>
          <w:sz w:val="28"/>
          <w:szCs w:val="28"/>
          <w:lang w:val="es-MX"/>
        </w:rPr>
      </w:pPr>
      <w:r w:rsidRPr="00CC74EE">
        <w:rPr>
          <w:rFonts w:ascii="Times New Roman" w:hAnsi="Times New Roman"/>
          <w:b/>
          <w:sz w:val="28"/>
          <w:szCs w:val="28"/>
          <w:lang w:val="es-MX"/>
        </w:rPr>
        <w:t>La importancia y características del marco conceptual para el usuario general de los estados financieros radican en lo siguiente:</w:t>
      </w:r>
    </w:p>
    <w:p w:rsidR="00CC74EE" w:rsidRPr="00CC74EE" w:rsidRDefault="00CC74EE"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sz w:val="28"/>
          <w:szCs w:val="28"/>
          <w:lang w:val="es-MX"/>
        </w:rPr>
        <w:t>a) Ofrecer un mayor entendimiento acerca de la naturaleza, función y límites de los estados e información financiera;</w:t>
      </w:r>
    </w:p>
    <w:p w:rsidR="00CC74EE" w:rsidRPr="00CC74EE" w:rsidRDefault="00CC74EE"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sz w:val="28"/>
          <w:szCs w:val="28"/>
          <w:lang w:val="es-MX"/>
        </w:rPr>
        <w:t xml:space="preserve">b) Respaldar teóricamente la emisión de las normas generales y </w:t>
      </w:r>
      <w:r w:rsidRPr="00CC74EE">
        <w:rPr>
          <w:rFonts w:ascii="Times New Roman" w:hAnsi="Times New Roman"/>
          <w:b/>
          <w:color w:val="C00000"/>
          <w:sz w:val="28"/>
          <w:szCs w:val="28"/>
          <w:lang w:val="es-MX"/>
        </w:rPr>
        <w:t>guías contabilizadoras</w:t>
      </w:r>
      <w:r w:rsidRPr="00CC74EE">
        <w:rPr>
          <w:rFonts w:ascii="Times New Roman" w:hAnsi="Times New Roman"/>
          <w:sz w:val="28"/>
          <w:szCs w:val="28"/>
          <w:lang w:val="es-MX"/>
        </w:rPr>
        <w:t>, evitando con ello la emisión de normas que no sean consistentes entre sí;</w:t>
      </w:r>
    </w:p>
    <w:p w:rsidR="00CC74EE" w:rsidRPr="00CC74EE" w:rsidRDefault="00CC74EE"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sz w:val="28"/>
          <w:szCs w:val="28"/>
          <w:lang w:val="es-MX"/>
        </w:rPr>
        <w:t>c) Establecer un marco de referencia para aclarar o sustentar tratamientos contables;</w:t>
      </w:r>
    </w:p>
    <w:p w:rsidR="00CC74EE" w:rsidRPr="00CC74EE" w:rsidRDefault="00CC74EE"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Pr="00CC74EE"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r w:rsidRPr="00CC74EE">
        <w:rPr>
          <w:rFonts w:ascii="Times New Roman" w:hAnsi="Times New Roman"/>
          <w:sz w:val="28"/>
          <w:szCs w:val="28"/>
          <w:lang w:val="es-MX"/>
        </w:rPr>
        <w:t>e) Proporcionar una terminología y un punto de referencia común entre los diseñadores del sistema, generadores de información y usuarios, promoviendo una mayor comunicación entre ellos y una mejor capacidad de análisis.</w:t>
      </w:r>
    </w:p>
    <w:p w:rsidR="002D66EA" w:rsidRPr="00CC74EE" w:rsidRDefault="002D66EA"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2D66EA" w:rsidRPr="00CC74EE" w:rsidRDefault="002D66EA"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sz w:val="28"/>
          <w:szCs w:val="28"/>
          <w:lang w:val="es-MX"/>
        </w:rPr>
      </w:pPr>
    </w:p>
    <w:p w:rsidR="00F24E6F" w:rsidRPr="00CC74EE" w:rsidRDefault="00F24E6F" w:rsidP="00CC74EE">
      <w:pPr>
        <w:pBdr>
          <w:top w:val="thinThickSmallGap" w:sz="24" w:space="1" w:color="auto"/>
          <w:left w:val="thinThickSmallGap" w:sz="24" w:space="4" w:color="auto"/>
          <w:bottom w:val="thickThinSmallGap" w:sz="24" w:space="1" w:color="auto"/>
          <w:right w:val="thickThinSmallGap" w:sz="24" w:space="4" w:color="auto"/>
        </w:pBdr>
        <w:ind w:left="240"/>
        <w:jc w:val="both"/>
        <w:rPr>
          <w:rFonts w:ascii="Times New Roman" w:hAnsi="Times New Roman"/>
          <w:b/>
          <w:i/>
          <w:color w:val="C00000"/>
          <w:sz w:val="28"/>
          <w:szCs w:val="28"/>
          <w:lang w:val="es-MX"/>
        </w:rPr>
      </w:pPr>
      <w:r w:rsidRPr="00CC74EE">
        <w:rPr>
          <w:rFonts w:ascii="Times New Roman" w:hAnsi="Times New Roman"/>
          <w:b/>
          <w:sz w:val="28"/>
          <w:szCs w:val="28"/>
          <w:lang w:val="es-MX"/>
        </w:rPr>
        <w:t>En tal sentido, el Artículo 21 de la Ley de Contabilidad establece que</w:t>
      </w:r>
      <w:r w:rsidRPr="00CC74EE">
        <w:rPr>
          <w:rFonts w:ascii="Times New Roman" w:hAnsi="Times New Roman"/>
          <w:sz w:val="28"/>
          <w:szCs w:val="28"/>
          <w:lang w:val="es-MX"/>
        </w:rPr>
        <w:t xml:space="preserve"> </w:t>
      </w:r>
      <w:r w:rsidRPr="00CC74EE">
        <w:rPr>
          <w:rFonts w:ascii="Times New Roman" w:hAnsi="Times New Roman"/>
          <w:b/>
          <w:i/>
          <w:color w:val="C00000"/>
          <w:sz w:val="28"/>
          <w:szCs w:val="28"/>
          <w:lang w:val="es-MX"/>
        </w:rPr>
        <w:t>“La contabilidad se basará en un marco conceptual que representa los conceptos fundamentales para la elaboración de normas, la contabilización, valuación y presentación de la información financiera confiable y comparable para satisfacer las necesidades de los usuarios y permitirá ser reconocida e interpretada por especialistas e interesados en las finanzas públicas.”</w:t>
      </w:r>
    </w:p>
    <w:p w:rsidR="002D66EA" w:rsidRPr="00CC74EE" w:rsidRDefault="002D66EA" w:rsidP="00F24E6F">
      <w:pPr>
        <w:ind w:left="240"/>
        <w:jc w:val="both"/>
        <w:rPr>
          <w:rFonts w:ascii="Times New Roman" w:hAnsi="Times New Roman"/>
          <w:b/>
          <w:i/>
          <w:color w:val="C00000"/>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r w:rsidRPr="002B738B">
        <w:rPr>
          <w:rFonts w:ascii="Times New Roman" w:hAnsi="Times New Roman"/>
          <w:sz w:val="26"/>
          <w:szCs w:val="26"/>
          <w:lang w:val="es-MX"/>
        </w:rPr>
        <w:lastRenderedPageBreak/>
        <w:t xml:space="preserve">La Ley establece como una de las atribuciones del CONAC la de </w:t>
      </w:r>
      <w:r w:rsidRPr="002B738B">
        <w:rPr>
          <w:rFonts w:ascii="Times New Roman" w:hAnsi="Times New Roman"/>
          <w:b/>
          <w:i/>
          <w:color w:val="943634" w:themeColor="accent2" w:themeShade="BF"/>
          <w:sz w:val="26"/>
          <w:szCs w:val="26"/>
          <w:lang w:val="es-MX"/>
        </w:rPr>
        <w:t>“emitir el marco conceptual”</w:t>
      </w:r>
      <w:r w:rsidRPr="002B738B">
        <w:rPr>
          <w:rFonts w:ascii="Times New Roman" w:hAnsi="Times New Roman"/>
          <w:sz w:val="26"/>
          <w:szCs w:val="26"/>
          <w:lang w:val="es-MX"/>
        </w:rPr>
        <w:t>. Al efecto, con fecha 20 de agosto de 2009, fue publicado el acuerdo correspondiente, cuyos aspectos sustantivos se describen a continuación:</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b/>
          <w:sz w:val="26"/>
          <w:szCs w:val="26"/>
          <w:lang w:val="es-MX"/>
        </w:rPr>
      </w:pPr>
      <w:r w:rsidRPr="002B738B">
        <w:rPr>
          <w:rFonts w:ascii="Times New Roman" w:hAnsi="Times New Roman"/>
          <w:b/>
          <w:sz w:val="26"/>
          <w:szCs w:val="26"/>
          <w:lang w:val="es-MX"/>
        </w:rPr>
        <w:t>El MCCG tiene como propósitos:</w:t>
      </w:r>
    </w:p>
    <w:p w:rsidR="002B738B" w:rsidRPr="002B738B" w:rsidRDefault="002B738B"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p>
    <w:p w:rsidR="00F24E6F"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r w:rsidRPr="002B738B">
        <w:rPr>
          <w:rFonts w:ascii="Times New Roman" w:hAnsi="Times New Roman"/>
          <w:sz w:val="26"/>
          <w:szCs w:val="26"/>
          <w:lang w:val="es-MX"/>
        </w:rPr>
        <w:t>a) Establecer los atributos esenciales para desarrollar la normatividad contable gubernamental;</w:t>
      </w:r>
    </w:p>
    <w:p w:rsidR="002B738B" w:rsidRPr="002B738B" w:rsidRDefault="002B738B"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p>
    <w:p w:rsidR="00F24E6F"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r w:rsidRPr="002B738B">
        <w:rPr>
          <w:rFonts w:ascii="Times New Roman" w:hAnsi="Times New Roman"/>
          <w:sz w:val="26"/>
          <w:szCs w:val="26"/>
          <w:lang w:val="es-MX"/>
        </w:rPr>
        <w:t>b) Referenciar la aplicación del registro en las operaciones y transacciones susceptibles de ser valoradas y cuantificadas;</w:t>
      </w:r>
    </w:p>
    <w:p w:rsidR="002B738B" w:rsidRPr="002B738B" w:rsidRDefault="002B738B"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p>
    <w:p w:rsidR="00F24E6F"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r w:rsidRPr="002B738B">
        <w:rPr>
          <w:rFonts w:ascii="Times New Roman" w:hAnsi="Times New Roman"/>
          <w:sz w:val="26"/>
          <w:szCs w:val="26"/>
          <w:lang w:val="es-MX"/>
        </w:rPr>
        <w:t>c) Proporcionar los conceptos imprescindibles que rigen a la contabilidad gubernamental, identificando de manera precisa las bases que la sustentan;</w:t>
      </w:r>
    </w:p>
    <w:p w:rsidR="002B738B" w:rsidRPr="002B738B" w:rsidRDefault="002B738B"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240"/>
        <w:jc w:val="both"/>
        <w:rPr>
          <w:rFonts w:ascii="Times New Roman" w:hAnsi="Times New Roman"/>
          <w:sz w:val="26"/>
          <w:szCs w:val="26"/>
          <w:lang w:val="es-MX"/>
        </w:rPr>
      </w:pPr>
      <w:r w:rsidRPr="002B738B">
        <w:rPr>
          <w:rFonts w:ascii="Times New Roman" w:hAnsi="Times New Roman"/>
          <w:sz w:val="26"/>
          <w:szCs w:val="26"/>
          <w:lang w:val="es-MX"/>
        </w:rPr>
        <w:t>d) Armonizar la generación y presentación de la información financiera que permita:</w:t>
      </w:r>
    </w:p>
    <w:p w:rsidR="00F24E6F" w:rsidRPr="002B738B" w:rsidRDefault="00F24E6F" w:rsidP="002B738B">
      <w:pPr>
        <w:pStyle w:val="Prrafodelista"/>
        <w:numPr>
          <w:ilvl w:val="0"/>
          <w:numId w:val="22"/>
        </w:numPr>
        <w:pBdr>
          <w:top w:val="thickThinSmallGap" w:sz="24" w:space="1" w:color="auto"/>
          <w:left w:val="thickThinSmallGap" w:sz="24" w:space="4" w:color="auto"/>
          <w:bottom w:val="thinThickSmallGap" w:sz="24" w:space="1" w:color="auto"/>
          <w:right w:val="thinThickSmallGap" w:sz="24" w:space="4" w:color="auto"/>
        </w:pBdr>
        <w:spacing w:after="200" w:line="276" w:lineRule="auto"/>
        <w:jc w:val="both"/>
        <w:rPr>
          <w:rFonts w:ascii="Times New Roman" w:hAnsi="Times New Roman"/>
          <w:sz w:val="26"/>
          <w:szCs w:val="26"/>
          <w:lang w:val="es-MX"/>
        </w:rPr>
      </w:pPr>
      <w:r w:rsidRPr="002B738B">
        <w:rPr>
          <w:rFonts w:ascii="Times New Roman" w:hAnsi="Times New Roman"/>
          <w:sz w:val="26"/>
          <w:szCs w:val="26"/>
          <w:lang w:val="es-MX"/>
        </w:rPr>
        <w:t>Rendir cuentas de forma veraz y oportuna;</w:t>
      </w:r>
    </w:p>
    <w:p w:rsidR="00F24E6F" w:rsidRPr="002B738B" w:rsidRDefault="00F24E6F" w:rsidP="002B738B">
      <w:pPr>
        <w:pStyle w:val="Prrafodelista"/>
        <w:numPr>
          <w:ilvl w:val="0"/>
          <w:numId w:val="22"/>
        </w:numPr>
        <w:pBdr>
          <w:top w:val="thickThinSmallGap" w:sz="24" w:space="1" w:color="auto"/>
          <w:left w:val="thickThinSmallGap" w:sz="24" w:space="4" w:color="auto"/>
          <w:bottom w:val="thinThickSmallGap" w:sz="24" w:space="1" w:color="auto"/>
          <w:right w:val="thinThickSmallGap" w:sz="24" w:space="4" w:color="auto"/>
        </w:pBdr>
        <w:spacing w:after="200" w:line="276" w:lineRule="auto"/>
        <w:jc w:val="both"/>
        <w:rPr>
          <w:rFonts w:ascii="Times New Roman" w:hAnsi="Times New Roman"/>
          <w:sz w:val="26"/>
          <w:szCs w:val="26"/>
          <w:lang w:val="es-MX"/>
        </w:rPr>
      </w:pPr>
      <w:r w:rsidRPr="002B738B">
        <w:rPr>
          <w:rFonts w:ascii="Times New Roman" w:hAnsi="Times New Roman"/>
          <w:sz w:val="26"/>
          <w:szCs w:val="26"/>
          <w:lang w:val="es-MX"/>
        </w:rPr>
        <w:t>Interpretar y evaluar el comportamiento de la gestión pública;</w:t>
      </w:r>
    </w:p>
    <w:p w:rsidR="00F24E6F" w:rsidRPr="002B738B" w:rsidRDefault="00F24E6F" w:rsidP="002B738B">
      <w:pPr>
        <w:pStyle w:val="Prrafodelista"/>
        <w:numPr>
          <w:ilvl w:val="0"/>
          <w:numId w:val="22"/>
        </w:numPr>
        <w:pBdr>
          <w:top w:val="thickThinSmallGap" w:sz="24" w:space="1" w:color="auto"/>
          <w:left w:val="thickThinSmallGap" w:sz="24" w:space="4" w:color="auto"/>
          <w:bottom w:val="thinThickSmallGap" w:sz="24" w:space="1" w:color="auto"/>
          <w:right w:val="thinThickSmallGap" w:sz="24" w:space="4" w:color="auto"/>
        </w:pBdr>
        <w:spacing w:after="200" w:line="276" w:lineRule="auto"/>
        <w:jc w:val="both"/>
        <w:rPr>
          <w:rFonts w:ascii="Times New Roman" w:hAnsi="Times New Roman"/>
          <w:sz w:val="26"/>
          <w:szCs w:val="26"/>
          <w:lang w:val="es-MX"/>
        </w:rPr>
      </w:pPr>
      <w:r w:rsidRPr="002B738B">
        <w:rPr>
          <w:rFonts w:ascii="Times New Roman" w:hAnsi="Times New Roman"/>
          <w:sz w:val="26"/>
          <w:szCs w:val="26"/>
          <w:lang w:val="es-MX"/>
        </w:rPr>
        <w:t>Sustentar la toma de decisiones; y</w:t>
      </w:r>
    </w:p>
    <w:p w:rsidR="00F24E6F" w:rsidRPr="002B738B" w:rsidRDefault="00F24E6F" w:rsidP="002B738B">
      <w:pPr>
        <w:pStyle w:val="Prrafodelista"/>
        <w:numPr>
          <w:ilvl w:val="0"/>
          <w:numId w:val="22"/>
        </w:numPr>
        <w:pBdr>
          <w:top w:val="thickThinSmallGap" w:sz="24" w:space="1" w:color="auto"/>
          <w:left w:val="thickThinSmallGap" w:sz="24" w:space="4" w:color="auto"/>
          <w:bottom w:val="thinThickSmallGap" w:sz="24" w:space="1" w:color="auto"/>
          <w:right w:val="thinThickSmallGap" w:sz="24" w:space="4" w:color="auto"/>
        </w:pBdr>
        <w:spacing w:after="200" w:line="276" w:lineRule="auto"/>
        <w:jc w:val="both"/>
        <w:rPr>
          <w:rFonts w:ascii="Times New Roman" w:hAnsi="Times New Roman"/>
          <w:sz w:val="26"/>
          <w:szCs w:val="26"/>
          <w:lang w:val="es-MX"/>
        </w:rPr>
      </w:pPr>
      <w:r w:rsidRPr="002B738B">
        <w:rPr>
          <w:rFonts w:ascii="Times New Roman" w:hAnsi="Times New Roman"/>
          <w:sz w:val="26"/>
          <w:szCs w:val="26"/>
          <w:lang w:val="es-MX"/>
        </w:rPr>
        <w:t>Apoyar las tareas de fiscalización.</w:t>
      </w: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center"/>
        <w:rPr>
          <w:rFonts w:ascii="Times New Roman" w:hAnsi="Times New Roman"/>
          <w:b/>
          <w:color w:val="943634" w:themeColor="accent2" w:themeShade="BF"/>
          <w:sz w:val="32"/>
          <w:szCs w:val="32"/>
          <w:u w:val="single"/>
          <w:lang w:val="es-MX"/>
        </w:rPr>
      </w:pPr>
      <w:r w:rsidRPr="002B738B">
        <w:rPr>
          <w:rFonts w:ascii="Times New Roman" w:hAnsi="Times New Roman"/>
          <w:b/>
          <w:color w:val="943634" w:themeColor="accent2" w:themeShade="BF"/>
          <w:sz w:val="32"/>
          <w:szCs w:val="32"/>
          <w:u w:val="single"/>
          <w:lang w:val="es-MX"/>
        </w:rPr>
        <w:t>El MCCG se integra por los apartados siguientes:</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I.    Características del Marco Conceptual de Contabilidad Gubernamental;</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II.   Sistema de Contabilidad Gubernamental;</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III.  Postulados Básicos de Contabilidad Gubernamental;</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IV.  Necesidades de información financiera de los usuarios;</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V.    Cualidades de la información financiera a producir;</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VI.   Estados presupuestarios, financieros y económicos a producir y sus objetivos;</w:t>
      </w:r>
    </w:p>
    <w:p w:rsidR="002D66EA" w:rsidRPr="002B738B" w:rsidRDefault="002D66EA"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p>
    <w:p w:rsidR="00F24E6F" w:rsidRPr="002B738B" w:rsidRDefault="00F24E6F" w:rsidP="002B738B">
      <w:pPr>
        <w:pBdr>
          <w:top w:val="thickThinSmallGap" w:sz="24" w:space="1" w:color="auto"/>
          <w:left w:val="thickThinSmallGap" w:sz="24" w:space="4" w:color="auto"/>
          <w:bottom w:val="thinThickSmallGap" w:sz="24" w:space="2" w:color="auto"/>
          <w:right w:val="thinThickSmallGap" w:sz="24" w:space="4" w:color="auto"/>
        </w:pBdr>
        <w:ind w:left="300"/>
        <w:jc w:val="both"/>
        <w:rPr>
          <w:rFonts w:ascii="Times New Roman" w:hAnsi="Times New Roman"/>
          <w:b/>
          <w:i/>
          <w:sz w:val="26"/>
          <w:szCs w:val="26"/>
          <w:lang w:val="es-MX"/>
        </w:rPr>
      </w:pPr>
      <w:r w:rsidRPr="002B738B">
        <w:rPr>
          <w:rFonts w:ascii="Times New Roman" w:hAnsi="Times New Roman"/>
          <w:b/>
          <w:i/>
          <w:sz w:val="26"/>
          <w:szCs w:val="26"/>
          <w:lang w:val="es-MX"/>
        </w:rPr>
        <w:t>VII.  Definición de la estructura básica y principales elementos de los estados financieros a elaborar.</w:t>
      </w:r>
    </w:p>
    <w:p w:rsidR="002B738B" w:rsidRDefault="002B738B" w:rsidP="00F24E6F">
      <w:pPr>
        <w:ind w:left="300"/>
        <w:jc w:val="both"/>
        <w:rPr>
          <w:rFonts w:ascii="Times New Roman" w:hAnsi="Times New Roman"/>
          <w:b/>
          <w:i/>
          <w:sz w:val="28"/>
          <w:szCs w:val="28"/>
          <w:lang w:val="es-MX"/>
        </w:rPr>
      </w:pPr>
    </w:p>
    <w:p w:rsidR="00CE21A3" w:rsidRDefault="00CE21A3" w:rsidP="00F24E6F">
      <w:pPr>
        <w:ind w:left="300"/>
        <w:jc w:val="both"/>
        <w:rPr>
          <w:rFonts w:ascii="Times New Roman" w:hAnsi="Times New Roman"/>
          <w:b/>
          <w:i/>
          <w:sz w:val="28"/>
          <w:szCs w:val="28"/>
          <w:lang w:val="es-MX"/>
        </w:rPr>
      </w:pPr>
    </w:p>
    <w:p w:rsidR="00CE21A3" w:rsidRDefault="00CE21A3" w:rsidP="00F24E6F">
      <w:pPr>
        <w:ind w:left="300"/>
        <w:jc w:val="both"/>
        <w:rPr>
          <w:rFonts w:ascii="Times New Roman" w:hAnsi="Times New Roman"/>
          <w:b/>
          <w:i/>
          <w:sz w:val="28"/>
          <w:szCs w:val="28"/>
          <w:lang w:val="es-MX"/>
        </w:rPr>
      </w:pPr>
    </w:p>
    <w:p w:rsidR="00CE21A3" w:rsidRDefault="00CE21A3" w:rsidP="00F24E6F">
      <w:pPr>
        <w:ind w:left="300"/>
        <w:jc w:val="both"/>
        <w:rPr>
          <w:rFonts w:ascii="Times New Roman" w:hAnsi="Times New Roman"/>
          <w:b/>
          <w:i/>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b/>
          <w:i/>
          <w:sz w:val="28"/>
          <w:szCs w:val="28"/>
          <w:lang w:val="es-MX"/>
        </w:rPr>
      </w:pPr>
      <w:r w:rsidRPr="002B738B">
        <w:rPr>
          <w:rFonts w:ascii="Times New Roman" w:hAnsi="Times New Roman"/>
          <w:b/>
          <w:i/>
          <w:sz w:val="28"/>
          <w:szCs w:val="28"/>
          <w:lang w:val="es-MX"/>
        </w:rPr>
        <w:t xml:space="preserve">Las normas emitidas por el CONAC </w:t>
      </w:r>
      <w:r w:rsidRPr="002B738B">
        <w:rPr>
          <w:rFonts w:ascii="Times New Roman" w:hAnsi="Times New Roman"/>
          <w:b/>
          <w:i/>
          <w:color w:val="943634" w:themeColor="accent2" w:themeShade="BF"/>
          <w:sz w:val="28"/>
          <w:szCs w:val="28"/>
          <w:u w:val="single"/>
          <w:lang w:val="es-MX"/>
        </w:rPr>
        <w:t>tienen la misma jerarquía que la Ley de Contabilidad</w:t>
      </w:r>
      <w:r w:rsidRPr="002B738B">
        <w:rPr>
          <w:rFonts w:ascii="Times New Roman" w:hAnsi="Times New Roman"/>
          <w:b/>
          <w:i/>
          <w:sz w:val="28"/>
          <w:szCs w:val="28"/>
          <w:lang w:val="es-MX"/>
        </w:rPr>
        <w:t xml:space="preserve">, por lo tanto son </w:t>
      </w:r>
      <w:r w:rsidR="002D66EA" w:rsidRPr="002B738B">
        <w:rPr>
          <w:rFonts w:ascii="Times New Roman" w:hAnsi="Times New Roman"/>
          <w:b/>
          <w:i/>
          <w:sz w:val="28"/>
          <w:szCs w:val="28"/>
          <w:lang w:val="es-MX"/>
        </w:rPr>
        <w:t>de observancia obligatoria para los entes públicos</w:t>
      </w:r>
      <w:r w:rsidRPr="002B738B">
        <w:rPr>
          <w:rFonts w:ascii="Times New Roman" w:hAnsi="Times New Roman"/>
          <w:b/>
          <w:i/>
          <w:sz w:val="28"/>
          <w:szCs w:val="28"/>
          <w:lang w:val="es-MX"/>
        </w:rPr>
        <w:t>.</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r w:rsidRPr="002B738B">
        <w:rPr>
          <w:rFonts w:ascii="Times New Roman" w:hAnsi="Times New Roman"/>
          <w:b/>
          <w:i/>
          <w:sz w:val="28"/>
          <w:szCs w:val="28"/>
          <w:u w:val="single"/>
          <w:lang w:val="es-MX"/>
        </w:rPr>
        <w:t>En forma supletoria</w:t>
      </w:r>
      <w:r w:rsidRPr="002B738B">
        <w:rPr>
          <w:rFonts w:ascii="Times New Roman" w:hAnsi="Times New Roman"/>
          <w:sz w:val="28"/>
          <w:szCs w:val="28"/>
          <w:lang w:val="es-MX"/>
        </w:rPr>
        <w:t xml:space="preserve"> a las normas de la Ley de Contabilidad y a las emitidas por el CONAC, se aplicarán las siguientes:</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r w:rsidRPr="002B738B">
        <w:rPr>
          <w:rFonts w:ascii="Times New Roman" w:hAnsi="Times New Roman"/>
          <w:sz w:val="28"/>
          <w:szCs w:val="28"/>
          <w:lang w:val="es-MX"/>
        </w:rPr>
        <w:t>a) La normatividad emitida por  las unidades administrativas o instancias competentes en materia de Contabilidad Gubernamental;</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r w:rsidRPr="002B738B">
        <w:rPr>
          <w:rFonts w:ascii="Times New Roman" w:hAnsi="Times New Roman"/>
          <w:sz w:val="28"/>
          <w:szCs w:val="28"/>
          <w:lang w:val="es-MX"/>
        </w:rPr>
        <w:t xml:space="preserve">b) Las Normas Internacionales de Contabilidad para el Sector Público (NICSP) emitidas por la Junta de Normas Internacionales de Contabilidad del Sector Público (International </w:t>
      </w:r>
      <w:proofErr w:type="spellStart"/>
      <w:r w:rsidRPr="002B738B">
        <w:rPr>
          <w:rFonts w:ascii="Times New Roman" w:hAnsi="Times New Roman"/>
          <w:sz w:val="28"/>
          <w:szCs w:val="28"/>
          <w:lang w:val="es-MX"/>
        </w:rPr>
        <w:t>Public</w:t>
      </w:r>
      <w:proofErr w:type="spellEnd"/>
      <w:r w:rsidRPr="002B738B">
        <w:rPr>
          <w:rFonts w:ascii="Times New Roman" w:hAnsi="Times New Roman"/>
          <w:sz w:val="28"/>
          <w:szCs w:val="28"/>
          <w:lang w:val="es-MX"/>
        </w:rPr>
        <w:t xml:space="preserve"> Sector </w:t>
      </w:r>
      <w:proofErr w:type="spellStart"/>
      <w:r w:rsidRPr="002B738B">
        <w:rPr>
          <w:rFonts w:ascii="Times New Roman" w:hAnsi="Times New Roman"/>
          <w:sz w:val="28"/>
          <w:szCs w:val="28"/>
          <w:lang w:val="es-MX"/>
        </w:rPr>
        <w:t>Accounting</w:t>
      </w:r>
      <w:proofErr w:type="spellEnd"/>
      <w:r w:rsidRPr="002B738B">
        <w:rPr>
          <w:rFonts w:ascii="Times New Roman" w:hAnsi="Times New Roman"/>
          <w:sz w:val="28"/>
          <w:szCs w:val="28"/>
          <w:lang w:val="es-MX"/>
        </w:rPr>
        <w:t xml:space="preserve"> </w:t>
      </w:r>
      <w:proofErr w:type="spellStart"/>
      <w:r w:rsidRPr="002B738B">
        <w:rPr>
          <w:rFonts w:ascii="Times New Roman" w:hAnsi="Times New Roman"/>
          <w:sz w:val="28"/>
          <w:szCs w:val="28"/>
          <w:lang w:val="es-MX"/>
        </w:rPr>
        <w:t>Standards</w:t>
      </w:r>
      <w:proofErr w:type="spellEnd"/>
      <w:r w:rsidRPr="002B738B">
        <w:rPr>
          <w:rFonts w:ascii="Times New Roman" w:hAnsi="Times New Roman"/>
          <w:sz w:val="28"/>
          <w:szCs w:val="28"/>
          <w:lang w:val="es-MX"/>
        </w:rPr>
        <w:t xml:space="preserve"> </w:t>
      </w:r>
      <w:proofErr w:type="spellStart"/>
      <w:r w:rsidRPr="002B738B">
        <w:rPr>
          <w:rFonts w:ascii="Times New Roman" w:hAnsi="Times New Roman"/>
          <w:sz w:val="28"/>
          <w:szCs w:val="28"/>
          <w:lang w:val="es-MX"/>
        </w:rPr>
        <w:t>Board</w:t>
      </w:r>
      <w:proofErr w:type="spellEnd"/>
      <w:r w:rsidRPr="002B738B">
        <w:rPr>
          <w:rFonts w:ascii="Times New Roman" w:hAnsi="Times New Roman"/>
          <w:sz w:val="28"/>
          <w:szCs w:val="28"/>
          <w:lang w:val="es-MX"/>
        </w:rPr>
        <w:t xml:space="preserve">, International </w:t>
      </w:r>
      <w:proofErr w:type="spellStart"/>
      <w:r w:rsidRPr="002B738B">
        <w:rPr>
          <w:rFonts w:ascii="Times New Roman" w:hAnsi="Times New Roman"/>
          <w:sz w:val="28"/>
          <w:szCs w:val="28"/>
          <w:lang w:val="es-MX"/>
        </w:rPr>
        <w:t>Federation</w:t>
      </w:r>
      <w:proofErr w:type="spellEnd"/>
      <w:r w:rsidRPr="002B738B">
        <w:rPr>
          <w:rFonts w:ascii="Times New Roman" w:hAnsi="Times New Roman"/>
          <w:sz w:val="28"/>
          <w:szCs w:val="28"/>
          <w:lang w:val="es-MX"/>
        </w:rPr>
        <w:t xml:space="preserve"> of </w:t>
      </w:r>
      <w:proofErr w:type="spellStart"/>
      <w:r w:rsidRPr="002B738B">
        <w:rPr>
          <w:rFonts w:ascii="Times New Roman" w:hAnsi="Times New Roman"/>
          <w:sz w:val="28"/>
          <w:szCs w:val="28"/>
          <w:lang w:val="es-MX"/>
        </w:rPr>
        <w:t>Accountants</w:t>
      </w:r>
      <w:proofErr w:type="spellEnd"/>
      <w:r w:rsidRPr="002B738B">
        <w:rPr>
          <w:rFonts w:ascii="Times New Roman" w:hAnsi="Times New Roman"/>
          <w:sz w:val="28"/>
          <w:szCs w:val="28"/>
          <w:lang w:val="es-MX"/>
        </w:rPr>
        <w:t xml:space="preserve"> –IFAC-), entes en materia de Contabilidad Gubernamental;</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r w:rsidRPr="002B738B">
        <w:rPr>
          <w:rFonts w:ascii="Times New Roman" w:hAnsi="Times New Roman"/>
          <w:sz w:val="28"/>
          <w:szCs w:val="28"/>
          <w:lang w:val="es-MX"/>
        </w:rPr>
        <w:t>c) Las Normas de Información Financiera del Consejo Mexicano para la Investigación y Desarrollo de Normas de Información Financiera (CINIF).</w:t>
      </w:r>
    </w:p>
    <w:p w:rsidR="002D66EA" w:rsidRPr="002B738B" w:rsidRDefault="002D66EA"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r w:rsidRPr="002B738B">
        <w:rPr>
          <w:rFonts w:ascii="Times New Roman" w:hAnsi="Times New Roman"/>
          <w:sz w:val="28"/>
          <w:szCs w:val="28"/>
          <w:lang w:val="es-MX"/>
        </w:rPr>
        <w:t>Tanto las normas emitidas por el IFAC como las del CINIF, si bien forman parte del marco técnico a considerar en el desarrollo conceptual del SCG, deben ser estudiadas y, en la medida que sean aplicables, deben ser puestas en vigor mediante actos administrativos específicos.</w:t>
      </w:r>
    </w:p>
    <w:p w:rsidR="00F24E6F" w:rsidRPr="002B738B" w:rsidRDefault="00F24E6F" w:rsidP="002B738B">
      <w:pPr>
        <w:pBdr>
          <w:top w:val="thickThinSmallGap" w:sz="24" w:space="1" w:color="auto"/>
          <w:left w:val="thickThinSmallGap" w:sz="24" w:space="4" w:color="auto"/>
          <w:bottom w:val="thinThickSmallGap" w:sz="24" w:space="1" w:color="auto"/>
          <w:right w:val="thinThickSmallGap" w:sz="24" w:space="4" w:color="auto"/>
        </w:pBdr>
        <w:ind w:left="300"/>
        <w:jc w:val="both"/>
        <w:rPr>
          <w:rFonts w:ascii="Times New Roman" w:hAnsi="Times New Roman"/>
          <w:sz w:val="28"/>
          <w:szCs w:val="28"/>
          <w:lang w:val="es-MX"/>
        </w:rPr>
      </w:pPr>
    </w:p>
    <w:p w:rsidR="00F24E6F" w:rsidRPr="00F24E6F" w:rsidRDefault="00F24E6F" w:rsidP="00CA0E66">
      <w:pPr>
        <w:shd w:val="clear" w:color="auto" w:fill="FFFFFF"/>
        <w:spacing w:before="100" w:beforeAutospacing="1" w:after="100" w:afterAutospacing="1"/>
        <w:jc w:val="both"/>
        <w:rPr>
          <w:rFonts w:ascii="Cambria" w:hAnsi="Cambria" w:cs="Calibri"/>
          <w:b/>
          <w:sz w:val="30"/>
          <w:szCs w:val="30"/>
          <w:lang w:val="es-MX"/>
        </w:rPr>
      </w:pPr>
    </w:p>
    <w:p w:rsidR="00F24E6F" w:rsidRDefault="00F24E6F" w:rsidP="00CA0E66">
      <w:pPr>
        <w:shd w:val="clear" w:color="auto" w:fill="FFFFFF"/>
        <w:spacing w:before="100" w:beforeAutospacing="1" w:after="100" w:afterAutospacing="1"/>
        <w:jc w:val="both"/>
        <w:rPr>
          <w:rFonts w:ascii="Cambria" w:hAnsi="Cambria" w:cs="Calibri"/>
          <w:b/>
          <w:sz w:val="30"/>
          <w:szCs w:val="30"/>
        </w:rPr>
      </w:pPr>
    </w:p>
    <w:p w:rsidR="00CE21A3" w:rsidRDefault="00CE21A3" w:rsidP="00CA0E66">
      <w:pPr>
        <w:shd w:val="clear" w:color="auto" w:fill="FFFFFF"/>
        <w:spacing w:before="100" w:beforeAutospacing="1" w:after="100" w:afterAutospacing="1"/>
        <w:jc w:val="both"/>
        <w:rPr>
          <w:rFonts w:ascii="Cambria" w:hAnsi="Cambria" w:cs="Calibri"/>
          <w:b/>
          <w:sz w:val="30"/>
          <w:szCs w:val="30"/>
        </w:rPr>
      </w:pPr>
    </w:p>
    <w:p w:rsidR="00CE21A3" w:rsidRDefault="00CE21A3" w:rsidP="00CA0E66">
      <w:pPr>
        <w:shd w:val="clear" w:color="auto" w:fill="FFFFFF"/>
        <w:spacing w:before="100" w:beforeAutospacing="1" w:after="100" w:afterAutospacing="1"/>
        <w:jc w:val="both"/>
        <w:rPr>
          <w:rFonts w:ascii="Cambria" w:hAnsi="Cambria" w:cs="Calibri"/>
          <w:b/>
          <w:sz w:val="30"/>
          <w:szCs w:val="30"/>
        </w:rPr>
      </w:pPr>
    </w:p>
    <w:p w:rsidR="00F24E6F" w:rsidRDefault="00F24E6F" w:rsidP="00CA0E66">
      <w:pPr>
        <w:shd w:val="clear" w:color="auto" w:fill="FFFFFF"/>
        <w:spacing w:before="100" w:beforeAutospacing="1" w:after="100" w:afterAutospacing="1"/>
        <w:jc w:val="both"/>
        <w:rPr>
          <w:rFonts w:ascii="Cambria" w:hAnsi="Cambria" w:cs="Calibri"/>
          <w:b/>
          <w:sz w:val="30"/>
          <w:szCs w:val="30"/>
        </w:rPr>
      </w:pPr>
    </w:p>
    <w:p w:rsidR="00634533" w:rsidRDefault="00634533" w:rsidP="00634533">
      <w:pPr>
        <w:shd w:val="clear" w:color="auto" w:fill="FFFFFF"/>
        <w:spacing w:before="100" w:beforeAutospacing="1" w:after="100" w:afterAutospacing="1" w:line="360" w:lineRule="auto"/>
        <w:jc w:val="both"/>
        <w:rPr>
          <w:rFonts w:ascii="Cambria" w:hAnsi="Cambria" w:cs="Calibri"/>
          <w:b/>
          <w:sz w:val="30"/>
          <w:szCs w:val="30"/>
        </w:rPr>
      </w:pPr>
      <w:r w:rsidRPr="00F24E6F">
        <w:rPr>
          <w:rFonts w:ascii="Cambria" w:hAnsi="Cambria" w:cs="Calibri"/>
          <w:b/>
          <w:sz w:val="30"/>
          <w:szCs w:val="30"/>
        </w:rPr>
        <w:lastRenderedPageBreak/>
        <w:t>1.</w:t>
      </w:r>
      <w:r>
        <w:rPr>
          <w:rFonts w:ascii="Cambria" w:hAnsi="Cambria" w:cs="Calibri"/>
          <w:b/>
          <w:sz w:val="30"/>
          <w:szCs w:val="30"/>
        </w:rPr>
        <w:t>3</w:t>
      </w:r>
      <w:r w:rsidRPr="00F24E6F">
        <w:rPr>
          <w:rFonts w:ascii="Cambria" w:hAnsi="Cambria" w:cs="Calibri"/>
          <w:b/>
          <w:sz w:val="30"/>
          <w:szCs w:val="30"/>
        </w:rPr>
        <w:t xml:space="preserve"> </w:t>
      </w:r>
      <w:r>
        <w:rPr>
          <w:rFonts w:ascii="Cambria" w:hAnsi="Cambria" w:cs="Calibri"/>
          <w:b/>
          <w:sz w:val="30"/>
          <w:szCs w:val="30"/>
        </w:rPr>
        <w:t xml:space="preserve"> </w:t>
      </w:r>
      <w:r w:rsidRPr="00F24E6F">
        <w:rPr>
          <w:rFonts w:ascii="Cambria" w:hAnsi="Cambria" w:cs="Calibri"/>
          <w:b/>
          <w:sz w:val="30"/>
          <w:szCs w:val="30"/>
        </w:rPr>
        <w:t xml:space="preserve"> </w:t>
      </w:r>
      <w:r w:rsidR="001402C5">
        <w:rPr>
          <w:rFonts w:ascii="Cambria" w:hAnsi="Cambria" w:cs="Calibri"/>
          <w:b/>
          <w:sz w:val="30"/>
          <w:szCs w:val="30"/>
        </w:rPr>
        <w:t>POSTULADOS BÁ</w:t>
      </w:r>
      <w:r>
        <w:rPr>
          <w:rFonts w:ascii="Cambria" w:hAnsi="Cambria" w:cs="Calibri"/>
          <w:b/>
          <w:sz w:val="30"/>
          <w:szCs w:val="30"/>
        </w:rPr>
        <w:t>SICOS DE</w:t>
      </w:r>
      <w:r w:rsidRPr="00F24E6F">
        <w:rPr>
          <w:rFonts w:ascii="Cambria" w:hAnsi="Cambria" w:cs="Calibri"/>
          <w:b/>
          <w:sz w:val="30"/>
          <w:szCs w:val="30"/>
        </w:rPr>
        <w:t xml:space="preserve"> CONTABILIDAD GUBERNAMENTAL</w:t>
      </w:r>
    </w:p>
    <w:p w:rsidR="00634533" w:rsidRPr="00634533" w:rsidRDefault="00634533" w:rsidP="00634533">
      <w:pPr>
        <w:ind w:left="300"/>
        <w:jc w:val="both"/>
        <w:rPr>
          <w:rFonts w:ascii="Times New Roman" w:hAnsi="Times New Roman"/>
          <w:b/>
          <w:sz w:val="28"/>
          <w:szCs w:val="28"/>
          <w:lang w:val="es-MX"/>
        </w:rPr>
      </w:pPr>
      <w:r w:rsidRPr="00634533">
        <w:rPr>
          <w:rFonts w:ascii="Times New Roman" w:hAnsi="Times New Roman"/>
          <w:b/>
          <w:sz w:val="28"/>
          <w:szCs w:val="28"/>
          <w:lang w:val="es-MX"/>
        </w:rPr>
        <w:t>Postulados Básicos de Contabilidad Gubernamental.</w:t>
      </w:r>
    </w:p>
    <w:p w:rsidR="00634533" w:rsidRPr="00634533" w:rsidRDefault="00634533" w:rsidP="00634533">
      <w:pPr>
        <w:ind w:left="300"/>
        <w:jc w:val="both"/>
        <w:rPr>
          <w:rFonts w:ascii="Times New Roman" w:hAnsi="Times New Roman"/>
          <w:b/>
          <w:sz w:val="28"/>
          <w:szCs w:val="28"/>
          <w:lang w:val="es-MX"/>
        </w:rPr>
      </w:pPr>
    </w:p>
    <w:p w:rsidR="00634533" w:rsidRDefault="00634533" w:rsidP="00634533">
      <w:pPr>
        <w:ind w:left="300"/>
        <w:jc w:val="both"/>
        <w:rPr>
          <w:rFonts w:ascii="Times New Roman" w:hAnsi="Times New Roman"/>
          <w:b/>
          <w:i/>
          <w:color w:val="943634" w:themeColor="accent2" w:themeShade="BF"/>
          <w:sz w:val="28"/>
          <w:szCs w:val="28"/>
          <w:lang w:val="es-MX"/>
        </w:rPr>
      </w:pPr>
      <w:r w:rsidRPr="00634533">
        <w:rPr>
          <w:rFonts w:ascii="Times New Roman" w:hAnsi="Times New Roman"/>
          <w:sz w:val="28"/>
          <w:szCs w:val="28"/>
          <w:lang w:val="es-MX"/>
        </w:rPr>
        <w:t xml:space="preserve">De conformidad con el </w:t>
      </w:r>
      <w:r w:rsidRPr="00634533">
        <w:rPr>
          <w:rFonts w:ascii="Times New Roman" w:hAnsi="Times New Roman"/>
          <w:b/>
          <w:sz w:val="28"/>
          <w:szCs w:val="28"/>
          <w:lang w:val="es-MX"/>
        </w:rPr>
        <w:t>Artículo 22 de la Ley de Contabilidad</w:t>
      </w:r>
      <w:r w:rsidRPr="00634533">
        <w:rPr>
          <w:rFonts w:ascii="Times New Roman" w:hAnsi="Times New Roman"/>
          <w:sz w:val="28"/>
          <w:szCs w:val="28"/>
          <w:lang w:val="es-MX"/>
        </w:rPr>
        <w:t xml:space="preserve">, </w:t>
      </w:r>
      <w:r w:rsidRPr="00634533">
        <w:rPr>
          <w:rFonts w:ascii="Times New Roman" w:hAnsi="Times New Roman"/>
          <w:b/>
          <w:i/>
          <w:color w:val="943634" w:themeColor="accent2" w:themeShade="BF"/>
          <w:sz w:val="28"/>
          <w:szCs w:val="28"/>
          <w:lang w:val="es-MX"/>
        </w:rPr>
        <w:t>“…los Postulados tienen como objetivo sustentar técnicamente la contabilidad gubernamental, organizar la efectiva sistematización que permita obtener la obtención de información veraz, clara y concisa.”</w:t>
      </w:r>
    </w:p>
    <w:p w:rsidR="00634533" w:rsidRPr="00634533" w:rsidRDefault="00634533" w:rsidP="00634533">
      <w:pPr>
        <w:ind w:left="300"/>
        <w:jc w:val="both"/>
        <w:rPr>
          <w:rFonts w:ascii="Times New Roman" w:hAnsi="Times New Roman"/>
          <w:sz w:val="28"/>
          <w:szCs w:val="28"/>
          <w:lang w:val="es-MX"/>
        </w:rPr>
      </w:pPr>
    </w:p>
    <w:p w:rsidR="00503C88" w:rsidRDefault="00634533" w:rsidP="00634533">
      <w:pPr>
        <w:ind w:left="300"/>
        <w:jc w:val="both"/>
        <w:rPr>
          <w:rFonts w:ascii="Times New Roman" w:hAnsi="Times New Roman"/>
          <w:sz w:val="28"/>
          <w:szCs w:val="28"/>
          <w:u w:val="single"/>
          <w:lang w:val="es-MX"/>
        </w:rPr>
      </w:pPr>
      <w:r w:rsidRPr="00634533">
        <w:rPr>
          <w:rFonts w:ascii="Times New Roman" w:hAnsi="Times New Roman"/>
          <w:sz w:val="28"/>
          <w:szCs w:val="28"/>
          <w:lang w:val="es-MX"/>
        </w:rPr>
        <w:t xml:space="preserve">Los Postulados Básicos representan uno de los elementos fundamentales que configuran el SCG, al permitir la identificación, el análisis, la interpretación, la captación, el procesamiento y reconocimiento de las transacciones, transformaciones internas y otros eventos que afectan económicamente al ente público. </w:t>
      </w:r>
      <w:r w:rsidRPr="001C22DD">
        <w:rPr>
          <w:rFonts w:ascii="Times New Roman" w:hAnsi="Times New Roman"/>
          <w:sz w:val="28"/>
          <w:szCs w:val="28"/>
          <w:u w:val="single"/>
          <w:lang w:val="es-MX"/>
        </w:rPr>
        <w:t>Sustentan de manera técnica el registro de las operaciones</w:t>
      </w:r>
      <w:r w:rsidRPr="00634533">
        <w:rPr>
          <w:rFonts w:ascii="Times New Roman" w:hAnsi="Times New Roman"/>
          <w:sz w:val="28"/>
          <w:szCs w:val="28"/>
          <w:lang w:val="es-MX"/>
        </w:rPr>
        <w:t xml:space="preserve">, la elaboración y presentación de estados financieros; basados en su razonamiento, eficiencia demostrada, respaldo en legislación específica y aplicación de la ley, </w:t>
      </w:r>
      <w:r w:rsidRPr="001C22DD">
        <w:rPr>
          <w:rFonts w:ascii="Times New Roman" w:hAnsi="Times New Roman"/>
          <w:sz w:val="28"/>
          <w:szCs w:val="28"/>
          <w:u w:val="single"/>
          <w:lang w:val="es-MX"/>
        </w:rPr>
        <w:t>con la finalidad de uniformar los métodos, procedimientos y prácticas contables.</w:t>
      </w:r>
    </w:p>
    <w:p w:rsidR="001C22DD" w:rsidRPr="001C22DD" w:rsidRDefault="001C22DD" w:rsidP="00634533">
      <w:pPr>
        <w:ind w:left="300"/>
        <w:jc w:val="both"/>
        <w:rPr>
          <w:rFonts w:ascii="Times New Roman" w:hAnsi="Times New Roman"/>
          <w:sz w:val="28"/>
          <w:szCs w:val="28"/>
          <w:u w:val="single"/>
          <w:lang w:val="es-MX"/>
        </w:rPr>
      </w:pPr>
    </w:p>
    <w:p w:rsidR="00634533" w:rsidRDefault="00634533" w:rsidP="00634533">
      <w:pPr>
        <w:ind w:left="300"/>
        <w:jc w:val="both"/>
        <w:rPr>
          <w:rFonts w:ascii="Times New Roman" w:hAnsi="Times New Roman"/>
          <w:sz w:val="28"/>
          <w:szCs w:val="28"/>
          <w:lang w:val="es-MX"/>
        </w:rPr>
      </w:pPr>
    </w:p>
    <w:p w:rsidR="00503C88" w:rsidRDefault="00503C88" w:rsidP="00503C88">
      <w:pPr>
        <w:ind w:left="300"/>
        <w:jc w:val="both"/>
        <w:rPr>
          <w:rFonts w:ascii="Times New Roman" w:hAnsi="Times New Roman"/>
          <w:sz w:val="28"/>
          <w:szCs w:val="28"/>
          <w:lang w:val="es-MX"/>
        </w:rPr>
      </w:pPr>
      <w:r w:rsidRPr="00503C88">
        <w:rPr>
          <w:rFonts w:ascii="Times New Roman" w:hAnsi="Times New Roman"/>
          <w:sz w:val="28"/>
          <w:szCs w:val="28"/>
          <w:lang w:val="es-MX"/>
        </w:rPr>
        <w:object w:dxaOrig="7191" w:dyaOrig="5402">
          <v:shape id="_x0000_i1034" type="#_x0000_t75" style="width:456.75pt;height:301.5pt" o:ole="">
            <v:imagedata r:id="rId25" o:title=""/>
          </v:shape>
          <o:OLEObject Type="Embed" ProgID="PowerPoint.Slide.12" ShapeID="_x0000_i1034" DrawAspect="Content" ObjectID="_1406475743" r:id="rId26"/>
        </w:object>
      </w:r>
      <w:r w:rsidRPr="00503C88">
        <w:rPr>
          <w:rFonts w:ascii="Times New Roman" w:hAnsi="Times New Roman"/>
          <w:sz w:val="28"/>
          <w:szCs w:val="28"/>
          <w:lang w:val="es-MX"/>
        </w:rPr>
        <w:t xml:space="preserve"> </w:t>
      </w:r>
    </w:p>
    <w:p w:rsidR="00503C88" w:rsidRDefault="00503C88" w:rsidP="00503C88">
      <w:pPr>
        <w:ind w:left="300"/>
        <w:jc w:val="both"/>
        <w:rPr>
          <w:rFonts w:ascii="Times New Roman" w:hAnsi="Times New Roman"/>
          <w:b/>
          <w:i/>
          <w:color w:val="943634" w:themeColor="accent2" w:themeShade="BF"/>
          <w:sz w:val="28"/>
          <w:szCs w:val="28"/>
          <w:lang w:val="es-MX"/>
        </w:rPr>
      </w:pPr>
      <w:r w:rsidRPr="00634533">
        <w:rPr>
          <w:rFonts w:ascii="Times New Roman" w:hAnsi="Times New Roman"/>
          <w:sz w:val="28"/>
          <w:szCs w:val="28"/>
          <w:lang w:val="es-MX"/>
        </w:rPr>
        <w:lastRenderedPageBreak/>
        <w:t xml:space="preserve">Cabe destacar que con fecha 20 de agosto de 2009, fue publicado el acuerdo por el cual el CONAC emite los Postulados Básicos de Contabilidad Gubernamental, disponiendo que deben ser aplicados por los entes públicos de forma tal que la información que proporcionen sea oportuna, confiable y comparable para la toma de decisiones. </w:t>
      </w:r>
      <w:r w:rsidRPr="001C22DD">
        <w:rPr>
          <w:rFonts w:ascii="Times New Roman" w:hAnsi="Times New Roman"/>
          <w:b/>
          <w:i/>
          <w:color w:val="943634" w:themeColor="accent2" w:themeShade="BF"/>
          <w:sz w:val="28"/>
          <w:szCs w:val="28"/>
          <w:lang w:val="es-MX"/>
        </w:rPr>
        <w:t>Por tanto, la aplicación de los citados Postulados Básicos de Contabilidad Gubernamental deviene obligatoria en los términos establecidos por el CONAC.</w:t>
      </w:r>
    </w:p>
    <w:p w:rsidR="000B743C" w:rsidRDefault="000B743C" w:rsidP="00503C88">
      <w:pPr>
        <w:ind w:left="300"/>
        <w:jc w:val="both"/>
        <w:rPr>
          <w:rFonts w:ascii="Times New Roman" w:hAnsi="Times New Roman"/>
          <w:b/>
          <w:i/>
          <w:color w:val="943634" w:themeColor="accent2" w:themeShade="BF"/>
          <w:sz w:val="28"/>
          <w:szCs w:val="28"/>
          <w:lang w:val="es-MX"/>
        </w:rPr>
      </w:pPr>
    </w:p>
    <w:p w:rsidR="000B743C" w:rsidRDefault="000B743C" w:rsidP="00503C88">
      <w:pPr>
        <w:ind w:left="300"/>
        <w:jc w:val="both"/>
        <w:rPr>
          <w:rFonts w:ascii="Times New Roman" w:hAnsi="Times New Roman"/>
          <w:b/>
          <w:i/>
          <w:color w:val="943634" w:themeColor="accent2" w:themeShade="BF"/>
          <w:sz w:val="28"/>
          <w:szCs w:val="28"/>
          <w:lang w:val="es-MX"/>
        </w:rPr>
      </w:pPr>
      <w:r w:rsidRPr="000B743C">
        <w:rPr>
          <w:rFonts w:ascii="Times New Roman" w:hAnsi="Times New Roman"/>
          <w:sz w:val="22"/>
          <w:szCs w:val="22"/>
          <w:lang w:val="es-MX" w:eastAsia="es-MX"/>
        </w:rPr>
        <w:object w:dxaOrig="7191" w:dyaOrig="5402">
          <v:shape id="_x0000_i1035" type="#_x0000_t75" style="width:465.75pt;height:307.5pt" o:ole="">
            <v:imagedata r:id="rId27" o:title=""/>
          </v:shape>
          <o:OLEObject Type="Embed" ProgID="PowerPoint.Slide.12" ShapeID="_x0000_i1035" DrawAspect="Content" ObjectID="_1406475744" r:id="rId28"/>
        </w:object>
      </w:r>
    </w:p>
    <w:p w:rsidR="000B743C" w:rsidRDefault="000B743C" w:rsidP="00503C88">
      <w:pPr>
        <w:ind w:left="300"/>
        <w:jc w:val="both"/>
        <w:rPr>
          <w:rFonts w:ascii="Times New Roman" w:hAnsi="Times New Roman"/>
          <w:b/>
          <w:i/>
          <w:color w:val="943634" w:themeColor="accent2" w:themeShade="BF"/>
          <w:sz w:val="28"/>
          <w:szCs w:val="28"/>
          <w:lang w:val="es-MX"/>
        </w:rPr>
      </w:pPr>
    </w:p>
    <w:p w:rsidR="00CE21A3" w:rsidRDefault="00CE21A3" w:rsidP="00503C88">
      <w:pPr>
        <w:ind w:left="300"/>
        <w:jc w:val="both"/>
        <w:rPr>
          <w:rFonts w:ascii="Times New Roman" w:hAnsi="Times New Roman"/>
          <w:b/>
          <w:i/>
          <w:color w:val="943634" w:themeColor="accent2" w:themeShade="BF"/>
          <w:sz w:val="28"/>
          <w:szCs w:val="28"/>
          <w:lang w:val="es-MX"/>
        </w:rPr>
      </w:pPr>
    </w:p>
    <w:p w:rsidR="00634533" w:rsidRPr="001C22DD" w:rsidRDefault="00634533" w:rsidP="00634533">
      <w:pPr>
        <w:ind w:left="300"/>
        <w:jc w:val="both"/>
        <w:rPr>
          <w:rFonts w:ascii="Times New Roman" w:hAnsi="Times New Roman"/>
          <w:b/>
          <w:sz w:val="28"/>
          <w:szCs w:val="28"/>
          <w:lang w:val="es-MX"/>
        </w:rPr>
      </w:pPr>
      <w:r w:rsidRPr="001C22DD">
        <w:rPr>
          <w:rFonts w:ascii="Times New Roman" w:hAnsi="Times New Roman"/>
          <w:b/>
          <w:sz w:val="28"/>
          <w:szCs w:val="28"/>
          <w:lang w:val="es-MX"/>
        </w:rPr>
        <w:t>A continuación se describe el contenido principal de los Postulados Básicos de Contabilidad Gubernamental, aprobados por el CONAC:</w:t>
      </w:r>
    </w:p>
    <w:p w:rsidR="001C22DD" w:rsidRPr="00634533" w:rsidRDefault="001C22DD" w:rsidP="00634533">
      <w:pPr>
        <w:ind w:left="300"/>
        <w:jc w:val="both"/>
        <w:rPr>
          <w:rFonts w:ascii="Times New Roman" w:hAnsi="Times New Roman"/>
          <w:sz w:val="28"/>
          <w:szCs w:val="28"/>
          <w:lang w:val="es-MX"/>
        </w:rPr>
      </w:pPr>
    </w:p>
    <w:p w:rsidR="00634533" w:rsidRPr="001C22DD" w:rsidRDefault="00634533" w:rsidP="00634533">
      <w:pPr>
        <w:jc w:val="both"/>
        <w:rPr>
          <w:rFonts w:ascii="Times New Roman" w:hAnsi="Times New Roman"/>
          <w:b/>
          <w:i/>
          <w:color w:val="943634" w:themeColor="accent2" w:themeShade="BF"/>
          <w:sz w:val="32"/>
          <w:szCs w:val="32"/>
          <w:lang w:val="es-MX"/>
        </w:rPr>
      </w:pPr>
      <w:r w:rsidRPr="001C22DD">
        <w:rPr>
          <w:rFonts w:ascii="Times New Roman" w:hAnsi="Times New Roman"/>
          <w:b/>
          <w:i/>
          <w:color w:val="943634" w:themeColor="accent2" w:themeShade="BF"/>
          <w:sz w:val="32"/>
          <w:szCs w:val="32"/>
          <w:lang w:val="es-MX"/>
        </w:rPr>
        <w:t xml:space="preserve">     1) Sustancia Económica</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Es el reconocimiento contable de las transacciones, transformaciones internas y otros eventos, que afectan económicamente al ente público y delimitan la operación del SCG.</w:t>
      </w:r>
    </w:p>
    <w:p w:rsidR="001C22DD" w:rsidRPr="00634533" w:rsidRDefault="001C22DD" w:rsidP="00634533">
      <w:pPr>
        <w:jc w:val="both"/>
        <w:rPr>
          <w:rFonts w:ascii="Times New Roman" w:hAnsi="Times New Roman"/>
          <w:sz w:val="28"/>
          <w:szCs w:val="28"/>
          <w:lang w:val="es-MX"/>
        </w:rPr>
      </w:pPr>
    </w:p>
    <w:p w:rsidR="00634533" w:rsidRPr="000B743C" w:rsidRDefault="00634533" w:rsidP="00634533">
      <w:pPr>
        <w:jc w:val="both"/>
        <w:rPr>
          <w:rFonts w:ascii="Times New Roman" w:hAnsi="Times New Roman"/>
          <w:b/>
          <w:i/>
          <w:color w:val="00B050"/>
          <w:sz w:val="32"/>
          <w:szCs w:val="32"/>
          <w:lang w:val="es-MX"/>
        </w:rPr>
      </w:pPr>
      <w:r w:rsidRPr="000B743C">
        <w:rPr>
          <w:rFonts w:ascii="Times New Roman" w:hAnsi="Times New Roman"/>
          <w:b/>
          <w:i/>
          <w:color w:val="00B050"/>
          <w:sz w:val="32"/>
          <w:szCs w:val="32"/>
          <w:lang w:val="es-MX"/>
        </w:rPr>
        <w:t xml:space="preserve">     2) Entes Públicos</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lastRenderedPageBreak/>
        <w:t xml:space="preserve">     Los poderes Ejecutivo, Legislativo y Judicial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1C22DD" w:rsidRPr="00634533" w:rsidRDefault="001C22DD" w:rsidP="00634533">
      <w:pPr>
        <w:jc w:val="both"/>
        <w:rPr>
          <w:rFonts w:ascii="Times New Roman" w:hAnsi="Times New Roman"/>
          <w:sz w:val="28"/>
          <w:szCs w:val="28"/>
          <w:lang w:val="es-MX"/>
        </w:rPr>
      </w:pPr>
    </w:p>
    <w:p w:rsidR="00634533" w:rsidRPr="000B743C" w:rsidRDefault="00634533" w:rsidP="00634533">
      <w:pPr>
        <w:jc w:val="both"/>
        <w:rPr>
          <w:rFonts w:ascii="Times New Roman" w:hAnsi="Times New Roman"/>
          <w:b/>
          <w:i/>
          <w:color w:val="0070C0"/>
          <w:sz w:val="32"/>
          <w:szCs w:val="32"/>
          <w:lang w:val="es-MX"/>
        </w:rPr>
      </w:pPr>
      <w:r w:rsidRPr="001C22DD">
        <w:rPr>
          <w:rFonts w:ascii="Times New Roman" w:hAnsi="Times New Roman"/>
          <w:b/>
          <w:i/>
          <w:color w:val="943634" w:themeColor="accent2" w:themeShade="BF"/>
          <w:sz w:val="32"/>
          <w:szCs w:val="32"/>
          <w:lang w:val="es-MX"/>
        </w:rPr>
        <w:t xml:space="preserve">    </w:t>
      </w:r>
      <w:r w:rsidRPr="000B743C">
        <w:rPr>
          <w:rFonts w:ascii="Times New Roman" w:hAnsi="Times New Roman"/>
          <w:b/>
          <w:i/>
          <w:color w:val="0070C0"/>
          <w:sz w:val="32"/>
          <w:szCs w:val="32"/>
          <w:lang w:val="es-MX"/>
        </w:rPr>
        <w:t xml:space="preserve"> 3) Existencia Permanente</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La actividad del ente público se establece por tiempo indefinido, salvo disposición legal en la que se especifique lo contrario.</w:t>
      </w:r>
    </w:p>
    <w:p w:rsidR="001C22DD"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32"/>
          <w:szCs w:val="32"/>
          <w:lang w:val="es-MX"/>
        </w:rPr>
      </w:pPr>
      <w:r w:rsidRPr="005D1842">
        <w:rPr>
          <w:rFonts w:ascii="Times New Roman" w:hAnsi="Times New Roman"/>
          <w:color w:val="5A670D"/>
          <w:sz w:val="28"/>
          <w:szCs w:val="28"/>
          <w:lang w:val="es-MX"/>
        </w:rPr>
        <w:t xml:space="preserve">    </w:t>
      </w:r>
      <w:r w:rsidRPr="005D1842">
        <w:rPr>
          <w:rFonts w:ascii="Times New Roman" w:hAnsi="Times New Roman"/>
          <w:b/>
          <w:i/>
          <w:color w:val="867750"/>
          <w:sz w:val="32"/>
          <w:szCs w:val="32"/>
          <w:lang w:val="es-MX"/>
        </w:rPr>
        <w:t>4) Revelación Suficiente</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Los estados y la información financiera deben mostrar amplia y claramente la situación financiera y los resultados del ente público.</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28"/>
          <w:szCs w:val="28"/>
          <w:lang w:val="es-MX"/>
        </w:rPr>
      </w:pPr>
      <w:r w:rsidRPr="005D1842">
        <w:rPr>
          <w:rFonts w:ascii="Times New Roman" w:hAnsi="Times New Roman"/>
          <w:color w:val="867750"/>
          <w:sz w:val="28"/>
          <w:szCs w:val="28"/>
          <w:lang w:val="es-MX"/>
        </w:rPr>
        <w:t xml:space="preserve">    </w:t>
      </w:r>
      <w:r w:rsidRPr="005D1842">
        <w:rPr>
          <w:rFonts w:ascii="Times New Roman" w:hAnsi="Times New Roman"/>
          <w:b/>
          <w:i/>
          <w:color w:val="867750"/>
          <w:sz w:val="28"/>
          <w:szCs w:val="28"/>
          <w:lang w:val="es-MX"/>
        </w:rPr>
        <w:t>5) Importancia Relativa</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La información debe mostrar los aspectos importantes de la entidad que fueron reconocidos contablemente.</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28"/>
          <w:szCs w:val="28"/>
          <w:lang w:val="es-MX"/>
        </w:rPr>
      </w:pPr>
      <w:r w:rsidRPr="001C22DD">
        <w:rPr>
          <w:rFonts w:ascii="Times New Roman" w:hAnsi="Times New Roman"/>
          <w:b/>
          <w:i/>
          <w:color w:val="943634" w:themeColor="accent2" w:themeShade="BF"/>
          <w:sz w:val="28"/>
          <w:szCs w:val="28"/>
          <w:lang w:val="es-MX"/>
        </w:rPr>
        <w:t xml:space="preserve">    </w:t>
      </w:r>
      <w:r w:rsidRPr="005D1842">
        <w:rPr>
          <w:rFonts w:ascii="Times New Roman" w:hAnsi="Times New Roman"/>
          <w:b/>
          <w:i/>
          <w:color w:val="867750"/>
          <w:sz w:val="28"/>
          <w:szCs w:val="28"/>
          <w:lang w:val="es-MX"/>
        </w:rPr>
        <w:t>6) Registro e Integración Presupuestaria</w:t>
      </w:r>
    </w:p>
    <w:p w:rsidR="00634533" w:rsidRP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La información presupuestaria de los entes públicos se integra en la contabilidad en los términos que se presentan en la Ley de Ingresos y en el Decreto del Presupuesto de Egresos, de acuerdo a la naturaleza económica que le corresponda.</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El registro presupuestario del ingreso y del egreso en los entes públicos se debe reflejar en la contabilidad, considerando sus efectos patrimoniales y su vinculación con las etapas presupuestarias correspondientes.</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32"/>
          <w:szCs w:val="32"/>
          <w:lang w:val="es-MX"/>
        </w:rPr>
      </w:pPr>
      <w:r w:rsidRPr="00634533">
        <w:rPr>
          <w:rFonts w:ascii="Times New Roman" w:hAnsi="Times New Roman"/>
          <w:sz w:val="28"/>
          <w:szCs w:val="28"/>
          <w:lang w:val="es-MX"/>
        </w:rPr>
        <w:t xml:space="preserve">    </w:t>
      </w:r>
      <w:r w:rsidRPr="005D1842">
        <w:rPr>
          <w:rFonts w:ascii="Times New Roman" w:hAnsi="Times New Roman"/>
          <w:b/>
          <w:i/>
          <w:color w:val="867750"/>
          <w:sz w:val="32"/>
          <w:szCs w:val="32"/>
          <w:lang w:val="es-MX"/>
        </w:rPr>
        <w:t>7) Consolidación de la Información Financiera.</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32"/>
          <w:szCs w:val="32"/>
          <w:lang w:val="es-MX"/>
        </w:rPr>
      </w:pPr>
      <w:r w:rsidRPr="001C22DD">
        <w:rPr>
          <w:rFonts w:ascii="Times New Roman" w:hAnsi="Times New Roman"/>
          <w:b/>
          <w:i/>
          <w:color w:val="943634" w:themeColor="accent2" w:themeShade="BF"/>
          <w:sz w:val="32"/>
          <w:szCs w:val="32"/>
          <w:lang w:val="es-MX"/>
        </w:rPr>
        <w:t xml:space="preserve">    </w:t>
      </w:r>
      <w:r w:rsidRPr="005D1842">
        <w:rPr>
          <w:rFonts w:ascii="Times New Roman" w:hAnsi="Times New Roman"/>
          <w:b/>
          <w:i/>
          <w:color w:val="867750"/>
          <w:sz w:val="32"/>
          <w:szCs w:val="32"/>
          <w:lang w:val="es-MX"/>
        </w:rPr>
        <w:t>8) Devengo Contable</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w:t>
      </w:r>
      <w:r w:rsidRPr="00634533">
        <w:rPr>
          <w:rFonts w:ascii="Times New Roman" w:hAnsi="Times New Roman"/>
          <w:sz w:val="28"/>
          <w:szCs w:val="28"/>
          <w:lang w:val="es-MX"/>
        </w:rPr>
        <w:lastRenderedPageBreak/>
        <w:t>obligación de pago a favor de terceros por la recepción de conformidad de bienes, servicios y obra pública contratados.</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32"/>
          <w:szCs w:val="32"/>
          <w:lang w:val="es-MX"/>
        </w:rPr>
      </w:pPr>
      <w:r w:rsidRPr="001C22DD">
        <w:rPr>
          <w:rFonts w:ascii="Times New Roman" w:hAnsi="Times New Roman"/>
          <w:b/>
          <w:i/>
          <w:sz w:val="32"/>
          <w:szCs w:val="32"/>
          <w:lang w:val="es-MX"/>
        </w:rPr>
        <w:t xml:space="preserve">    </w:t>
      </w:r>
      <w:r w:rsidRPr="005D1842">
        <w:rPr>
          <w:rFonts w:ascii="Times New Roman" w:hAnsi="Times New Roman"/>
          <w:b/>
          <w:i/>
          <w:color w:val="867750"/>
          <w:sz w:val="32"/>
          <w:szCs w:val="32"/>
          <w:lang w:val="es-MX"/>
        </w:rPr>
        <w:t>9) Valuación</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Todos los eventos que afecten económicamente al ente público, deben ser cuantificados en términos monetarios y se registrarán al costo histórico o al valor económico más objetivo registrándose en moneda nacional.</w: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32"/>
          <w:szCs w:val="32"/>
          <w:lang w:val="es-MX"/>
        </w:rPr>
      </w:pPr>
      <w:r w:rsidRPr="005D1842">
        <w:rPr>
          <w:rFonts w:ascii="Times New Roman" w:hAnsi="Times New Roman"/>
          <w:color w:val="867750"/>
          <w:sz w:val="28"/>
          <w:szCs w:val="28"/>
          <w:lang w:val="es-MX"/>
        </w:rPr>
        <w:t xml:space="preserve">    </w:t>
      </w:r>
      <w:r w:rsidRPr="005D1842">
        <w:rPr>
          <w:rFonts w:ascii="Times New Roman" w:hAnsi="Times New Roman"/>
          <w:b/>
          <w:i/>
          <w:color w:val="867750"/>
          <w:sz w:val="32"/>
          <w:szCs w:val="32"/>
          <w:lang w:val="es-MX"/>
        </w:rPr>
        <w:t>10) Dualidad Económica</w:t>
      </w:r>
    </w:p>
    <w:p w:rsid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0B743C" w:rsidRDefault="000B743C" w:rsidP="00634533">
      <w:pPr>
        <w:jc w:val="both"/>
        <w:rPr>
          <w:rFonts w:ascii="Times New Roman" w:hAnsi="Times New Roman"/>
          <w:sz w:val="28"/>
          <w:szCs w:val="28"/>
          <w:lang w:val="es-MX"/>
        </w:rPr>
      </w:pPr>
    </w:p>
    <w:p w:rsidR="000B743C" w:rsidRDefault="000B743C" w:rsidP="00634533">
      <w:pPr>
        <w:jc w:val="both"/>
        <w:rPr>
          <w:rFonts w:ascii="Times New Roman" w:hAnsi="Times New Roman"/>
          <w:sz w:val="28"/>
          <w:szCs w:val="28"/>
          <w:lang w:val="es-MX"/>
        </w:rPr>
      </w:pPr>
      <w:r w:rsidRPr="000B743C">
        <w:rPr>
          <w:rFonts w:ascii="Times New Roman" w:hAnsi="Times New Roman"/>
          <w:sz w:val="22"/>
          <w:szCs w:val="22"/>
          <w:lang w:val="es-MX" w:eastAsia="es-MX"/>
        </w:rPr>
        <w:object w:dxaOrig="7176" w:dyaOrig="5391">
          <v:shape id="_x0000_i1036" type="#_x0000_t75" style="width:455.25pt;height:299.25pt" o:ole="">
            <v:imagedata r:id="rId29" o:title=""/>
          </v:shape>
          <o:OLEObject Type="Embed" ProgID="PowerPoint.Slide.12" ShapeID="_x0000_i1036" DrawAspect="Content" ObjectID="_1406475745" r:id="rId30"/>
        </w:object>
      </w:r>
    </w:p>
    <w:p w:rsidR="001C22DD" w:rsidRPr="00634533" w:rsidRDefault="001C22DD" w:rsidP="00634533">
      <w:pPr>
        <w:jc w:val="both"/>
        <w:rPr>
          <w:rFonts w:ascii="Times New Roman" w:hAnsi="Times New Roman"/>
          <w:sz w:val="28"/>
          <w:szCs w:val="28"/>
          <w:lang w:val="es-MX"/>
        </w:rPr>
      </w:pPr>
    </w:p>
    <w:p w:rsidR="00634533" w:rsidRPr="005D1842" w:rsidRDefault="00634533" w:rsidP="00634533">
      <w:pPr>
        <w:jc w:val="both"/>
        <w:rPr>
          <w:rFonts w:ascii="Times New Roman" w:hAnsi="Times New Roman"/>
          <w:b/>
          <w:i/>
          <w:color w:val="867750"/>
          <w:sz w:val="28"/>
          <w:szCs w:val="28"/>
          <w:lang w:val="es-MX"/>
        </w:rPr>
      </w:pPr>
      <w:r w:rsidRPr="005D1842">
        <w:rPr>
          <w:rFonts w:ascii="Times New Roman" w:hAnsi="Times New Roman"/>
          <w:color w:val="867750"/>
          <w:sz w:val="28"/>
          <w:szCs w:val="28"/>
          <w:lang w:val="es-MX"/>
        </w:rPr>
        <w:t xml:space="preserve">    </w:t>
      </w:r>
      <w:r w:rsidRPr="005D1842">
        <w:rPr>
          <w:rFonts w:ascii="Times New Roman" w:hAnsi="Times New Roman"/>
          <w:b/>
          <w:i/>
          <w:color w:val="867750"/>
          <w:sz w:val="28"/>
          <w:szCs w:val="28"/>
          <w:lang w:val="es-MX"/>
        </w:rPr>
        <w:t>11) Consistencia</w:t>
      </w:r>
    </w:p>
    <w:p w:rsidR="00634533" w:rsidRPr="00634533" w:rsidRDefault="00634533" w:rsidP="00634533">
      <w:pPr>
        <w:jc w:val="both"/>
        <w:rPr>
          <w:rFonts w:ascii="Times New Roman" w:hAnsi="Times New Roman"/>
          <w:sz w:val="28"/>
          <w:szCs w:val="28"/>
          <w:lang w:val="es-MX"/>
        </w:rPr>
      </w:pPr>
      <w:r w:rsidRPr="00634533">
        <w:rPr>
          <w:rFonts w:ascii="Times New Roman" w:hAnsi="Times New Roman"/>
          <w:sz w:val="28"/>
          <w:szCs w:val="28"/>
          <w:lang w:val="es-MX"/>
        </w:rPr>
        <w:t xml:space="preserve">    Ante la existencia de operaciones similares en un ente público, debe corresponder un mismo tratamiento contable, el cual debe permanecer a través del tiempo, en tanto no cambie la esencia económica de las operaciones.</w:t>
      </w:r>
    </w:p>
    <w:p w:rsidR="009B4327" w:rsidRPr="009B4327" w:rsidRDefault="009B4327" w:rsidP="009B4327">
      <w:pPr>
        <w:pStyle w:val="Ttulo2"/>
        <w:spacing w:before="0" w:line="240" w:lineRule="auto"/>
        <w:jc w:val="both"/>
        <w:rPr>
          <w:szCs w:val="32"/>
        </w:rPr>
      </w:pPr>
      <w:r w:rsidRPr="009B4327">
        <w:rPr>
          <w:szCs w:val="32"/>
        </w:rPr>
        <w:t>2.</w:t>
      </w:r>
      <w:r w:rsidRPr="009B4327">
        <w:rPr>
          <w:szCs w:val="32"/>
        </w:rPr>
        <w:tab/>
        <w:t xml:space="preserve">CONSTRUYENDO </w:t>
      </w:r>
      <w:r>
        <w:rPr>
          <w:szCs w:val="32"/>
        </w:rPr>
        <w:t xml:space="preserve">  </w:t>
      </w:r>
      <w:r w:rsidRPr="009B4327">
        <w:rPr>
          <w:szCs w:val="32"/>
        </w:rPr>
        <w:t>LA</w:t>
      </w:r>
      <w:r>
        <w:rPr>
          <w:szCs w:val="32"/>
        </w:rPr>
        <w:t xml:space="preserve">  </w:t>
      </w:r>
      <w:r w:rsidRPr="009B4327">
        <w:rPr>
          <w:szCs w:val="32"/>
        </w:rPr>
        <w:t xml:space="preserve"> CONTABILIDAD</w:t>
      </w:r>
      <w:r>
        <w:rPr>
          <w:szCs w:val="32"/>
        </w:rPr>
        <w:t xml:space="preserve">  </w:t>
      </w:r>
      <w:r w:rsidRPr="009B4327">
        <w:rPr>
          <w:szCs w:val="32"/>
        </w:rPr>
        <w:t xml:space="preserve">GUBERNAMENTAL </w:t>
      </w:r>
    </w:p>
    <w:p w:rsidR="009B4327" w:rsidRDefault="009B4327" w:rsidP="009B4327">
      <w:pPr>
        <w:pStyle w:val="Ttulo2"/>
        <w:spacing w:before="0" w:line="240" w:lineRule="auto"/>
        <w:jc w:val="both"/>
        <w:rPr>
          <w:szCs w:val="32"/>
        </w:rPr>
      </w:pPr>
      <w:r w:rsidRPr="009B4327">
        <w:rPr>
          <w:szCs w:val="32"/>
        </w:rPr>
        <w:lastRenderedPageBreak/>
        <w:t xml:space="preserve">         ARMONIZADA </w:t>
      </w:r>
      <w:r>
        <w:rPr>
          <w:szCs w:val="32"/>
        </w:rPr>
        <w:t xml:space="preserve">  </w:t>
      </w:r>
      <w:r w:rsidRPr="009B4327">
        <w:rPr>
          <w:szCs w:val="32"/>
        </w:rPr>
        <w:t xml:space="preserve">Y </w:t>
      </w:r>
      <w:r>
        <w:rPr>
          <w:szCs w:val="32"/>
        </w:rPr>
        <w:t xml:space="preserve">  </w:t>
      </w:r>
      <w:r w:rsidR="001402C5">
        <w:rPr>
          <w:szCs w:val="32"/>
        </w:rPr>
        <w:t>PREPARACIÓ</w:t>
      </w:r>
      <w:r w:rsidRPr="009B4327">
        <w:rPr>
          <w:szCs w:val="32"/>
        </w:rPr>
        <w:t>N</w:t>
      </w:r>
      <w:r>
        <w:rPr>
          <w:szCs w:val="32"/>
        </w:rPr>
        <w:t xml:space="preserve">  </w:t>
      </w:r>
      <w:r w:rsidRPr="009B4327">
        <w:rPr>
          <w:szCs w:val="32"/>
        </w:rPr>
        <w:t xml:space="preserve"> DE</w:t>
      </w:r>
      <w:r>
        <w:rPr>
          <w:szCs w:val="32"/>
        </w:rPr>
        <w:t xml:space="preserve">  </w:t>
      </w:r>
      <w:r w:rsidRPr="009B4327">
        <w:rPr>
          <w:szCs w:val="32"/>
        </w:rPr>
        <w:t xml:space="preserve"> LA </w:t>
      </w:r>
      <w:r>
        <w:rPr>
          <w:szCs w:val="32"/>
        </w:rPr>
        <w:t xml:space="preserve">  </w:t>
      </w:r>
      <w:r w:rsidR="001402C5">
        <w:rPr>
          <w:szCs w:val="32"/>
        </w:rPr>
        <w:t>INFORMACIÓ</w:t>
      </w:r>
      <w:r w:rsidRPr="009B4327">
        <w:rPr>
          <w:szCs w:val="32"/>
        </w:rPr>
        <w:t xml:space="preserve">N </w:t>
      </w:r>
    </w:p>
    <w:p w:rsidR="009B4327" w:rsidRDefault="009B4327" w:rsidP="009B4327">
      <w:pPr>
        <w:pStyle w:val="Ttulo2"/>
        <w:spacing w:before="0" w:line="240" w:lineRule="auto"/>
        <w:jc w:val="both"/>
        <w:rPr>
          <w:szCs w:val="32"/>
        </w:rPr>
      </w:pPr>
      <w:r>
        <w:rPr>
          <w:szCs w:val="32"/>
        </w:rPr>
        <w:t xml:space="preserve">         </w:t>
      </w:r>
      <w:r w:rsidRPr="009B4327">
        <w:rPr>
          <w:szCs w:val="32"/>
        </w:rPr>
        <w:t>FINANCIERA</w:t>
      </w:r>
      <w:r w:rsidR="003E42E6">
        <w:rPr>
          <w:szCs w:val="32"/>
        </w:rPr>
        <w:t>.</w:t>
      </w:r>
    </w:p>
    <w:p w:rsidR="003E42E6" w:rsidRDefault="003E42E6" w:rsidP="003E42E6">
      <w:pPr>
        <w:rPr>
          <w:lang w:val="es-MX" w:eastAsia="es-MX"/>
        </w:rPr>
      </w:pPr>
    </w:p>
    <w:p w:rsidR="00F8019A" w:rsidRPr="00CC1BC5" w:rsidRDefault="00F8019A" w:rsidP="00F8019A">
      <w:pPr>
        <w:jc w:val="both"/>
        <w:rPr>
          <w:rFonts w:ascii="Times New Roman" w:hAnsi="Times New Roman"/>
          <w:b/>
          <w:color w:val="943634" w:themeColor="accent2" w:themeShade="BF"/>
          <w:sz w:val="32"/>
          <w:szCs w:val="32"/>
          <w:lang w:val="es-MX"/>
        </w:rPr>
      </w:pPr>
      <w:r w:rsidRPr="00CC1BC5">
        <w:rPr>
          <w:rFonts w:ascii="Times New Roman" w:hAnsi="Times New Roman"/>
          <w:b/>
          <w:color w:val="943634" w:themeColor="accent2" w:themeShade="BF"/>
          <w:sz w:val="32"/>
          <w:szCs w:val="32"/>
          <w:lang w:val="es-MX"/>
        </w:rPr>
        <w:t>Principales Elementos del SCG.</w:t>
      </w:r>
    </w:p>
    <w:p w:rsid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 xml:space="preserve">     De conformidad con lo establecido por la Ley de Contabilidad, Así como en el Marco Conceptual y los Postulados Básicos de Contabilidad Gubernamental aprobados por el CONAC, los elementos principales del SCG son los siguientes:</w:t>
      </w:r>
    </w:p>
    <w:p w:rsidR="00CC1BC5" w:rsidRPr="00F8019A" w:rsidRDefault="00CC1BC5" w:rsidP="00F8019A">
      <w:pPr>
        <w:jc w:val="both"/>
        <w:rPr>
          <w:rFonts w:ascii="Times New Roman" w:hAnsi="Times New Roman"/>
          <w:sz w:val="28"/>
          <w:szCs w:val="28"/>
          <w:lang w:val="es-MX"/>
        </w:rPr>
      </w:pPr>
    </w:p>
    <w:p w:rsid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1.   Plan de Cuentas (Lista de Cuentas)</w:t>
      </w:r>
    </w:p>
    <w:p w:rsidR="00CC1BC5" w:rsidRPr="00F8019A" w:rsidRDefault="00CC1BC5" w:rsidP="00F8019A">
      <w:pPr>
        <w:jc w:val="both"/>
        <w:rPr>
          <w:rFonts w:ascii="Times New Roman" w:hAnsi="Times New Roman"/>
          <w:sz w:val="28"/>
          <w:szCs w:val="28"/>
          <w:lang w:val="es-MX"/>
        </w:rPr>
      </w:pPr>
    </w:p>
    <w:p w:rsidR="00F8019A" w:rsidRP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2.   Clasificadores Presupuestarios Armonizados</w:t>
      </w:r>
    </w:p>
    <w:p w:rsidR="00F8019A" w:rsidRPr="00F8019A" w:rsidRDefault="00F8019A" w:rsidP="00F8019A">
      <w:pPr>
        <w:pStyle w:val="Prrafodelista"/>
        <w:numPr>
          <w:ilvl w:val="0"/>
          <w:numId w:val="24"/>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Por Rubros de Ingresos</w:t>
      </w:r>
    </w:p>
    <w:p w:rsidR="00F8019A" w:rsidRPr="00F8019A" w:rsidRDefault="00F8019A" w:rsidP="00F8019A">
      <w:pPr>
        <w:pStyle w:val="Prrafodelista"/>
        <w:numPr>
          <w:ilvl w:val="0"/>
          <w:numId w:val="24"/>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Por Objeto del Gasto</w:t>
      </w:r>
    </w:p>
    <w:p w:rsidR="00F8019A" w:rsidRDefault="00F8019A" w:rsidP="00F8019A">
      <w:pPr>
        <w:pStyle w:val="Prrafodelista"/>
        <w:numPr>
          <w:ilvl w:val="0"/>
          <w:numId w:val="24"/>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Por Tipo de Gasto</w:t>
      </w:r>
    </w:p>
    <w:p w:rsidR="00304174" w:rsidRPr="00F8019A" w:rsidRDefault="00304174" w:rsidP="00F8019A">
      <w:pPr>
        <w:pStyle w:val="Prrafodelista"/>
        <w:numPr>
          <w:ilvl w:val="0"/>
          <w:numId w:val="24"/>
        </w:numPr>
        <w:spacing w:after="200" w:line="276" w:lineRule="auto"/>
        <w:jc w:val="both"/>
        <w:rPr>
          <w:rFonts w:ascii="Times New Roman" w:hAnsi="Times New Roman"/>
          <w:sz w:val="28"/>
          <w:szCs w:val="28"/>
          <w:lang w:val="es-MX"/>
        </w:rPr>
      </w:pPr>
      <w:r>
        <w:rPr>
          <w:rFonts w:ascii="Times New Roman" w:hAnsi="Times New Roman"/>
          <w:sz w:val="28"/>
          <w:szCs w:val="28"/>
          <w:lang w:val="es-MX"/>
        </w:rPr>
        <w:t>Funcional del Gasto</w:t>
      </w:r>
    </w:p>
    <w:p w:rsidR="00F8019A" w:rsidRP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3.   Momentos Contables</w:t>
      </w:r>
    </w:p>
    <w:p w:rsidR="00F8019A" w:rsidRPr="00F8019A" w:rsidRDefault="00F8019A" w:rsidP="00F8019A">
      <w:pPr>
        <w:pStyle w:val="Prrafodelista"/>
        <w:numPr>
          <w:ilvl w:val="0"/>
          <w:numId w:val="25"/>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De los ingresos</w:t>
      </w:r>
    </w:p>
    <w:p w:rsidR="00F8019A" w:rsidRPr="00F8019A" w:rsidRDefault="00F8019A" w:rsidP="00F8019A">
      <w:pPr>
        <w:pStyle w:val="Prrafodelista"/>
        <w:numPr>
          <w:ilvl w:val="0"/>
          <w:numId w:val="25"/>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De los gastos</w:t>
      </w:r>
    </w:p>
    <w:p w:rsidR="00F8019A" w:rsidRPr="00F8019A" w:rsidRDefault="00F8019A" w:rsidP="00F8019A">
      <w:pPr>
        <w:pStyle w:val="Prrafodelista"/>
        <w:numPr>
          <w:ilvl w:val="0"/>
          <w:numId w:val="25"/>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Del financiamiento</w:t>
      </w:r>
    </w:p>
    <w:p w:rsid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4.    Matriz de Conversión</w:t>
      </w:r>
    </w:p>
    <w:p w:rsidR="00CC1BC5" w:rsidRPr="00F8019A" w:rsidRDefault="00CC1BC5" w:rsidP="00F8019A">
      <w:pPr>
        <w:jc w:val="both"/>
        <w:rPr>
          <w:rFonts w:ascii="Times New Roman" w:hAnsi="Times New Roman"/>
          <w:sz w:val="28"/>
          <w:szCs w:val="28"/>
          <w:lang w:val="es-MX"/>
        </w:rPr>
      </w:pPr>
    </w:p>
    <w:p w:rsid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5.    Normas contables generales</w:t>
      </w:r>
    </w:p>
    <w:p w:rsidR="00CC1BC5" w:rsidRPr="00F8019A" w:rsidRDefault="00CC1BC5" w:rsidP="00F8019A">
      <w:pPr>
        <w:jc w:val="both"/>
        <w:rPr>
          <w:rFonts w:ascii="Times New Roman" w:hAnsi="Times New Roman"/>
          <w:sz w:val="28"/>
          <w:szCs w:val="28"/>
          <w:lang w:val="es-MX"/>
        </w:rPr>
      </w:pPr>
    </w:p>
    <w:p w:rsid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6.    Libros principales y registros auxiliares</w:t>
      </w:r>
    </w:p>
    <w:p w:rsidR="00CC1BC5" w:rsidRPr="00F8019A" w:rsidRDefault="00CC1BC5" w:rsidP="00F8019A">
      <w:pPr>
        <w:jc w:val="both"/>
        <w:rPr>
          <w:rFonts w:ascii="Times New Roman" w:hAnsi="Times New Roman"/>
          <w:sz w:val="28"/>
          <w:szCs w:val="28"/>
          <w:lang w:val="es-MX"/>
        </w:rPr>
      </w:pPr>
    </w:p>
    <w:p w:rsidR="00F8019A" w:rsidRPr="00F8019A" w:rsidRDefault="00F8019A" w:rsidP="00F8019A">
      <w:pPr>
        <w:jc w:val="both"/>
        <w:rPr>
          <w:rFonts w:ascii="Times New Roman" w:hAnsi="Times New Roman"/>
          <w:sz w:val="28"/>
          <w:szCs w:val="28"/>
          <w:lang w:val="es-MX"/>
        </w:rPr>
      </w:pPr>
      <w:r w:rsidRPr="00F8019A">
        <w:rPr>
          <w:rFonts w:ascii="Times New Roman" w:hAnsi="Times New Roman"/>
          <w:sz w:val="28"/>
          <w:szCs w:val="28"/>
          <w:lang w:val="es-MX"/>
        </w:rPr>
        <w:t>7.    Manual de Contabilidad</w:t>
      </w:r>
    </w:p>
    <w:p w:rsidR="00F8019A" w:rsidRPr="00F8019A" w:rsidRDefault="00F8019A" w:rsidP="00F8019A">
      <w:pPr>
        <w:pStyle w:val="Prrafodelista"/>
        <w:numPr>
          <w:ilvl w:val="0"/>
          <w:numId w:val="26"/>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Plan de Cuentas (Lista de cuentas)</w:t>
      </w:r>
    </w:p>
    <w:p w:rsidR="00F8019A" w:rsidRPr="00F8019A" w:rsidRDefault="00F8019A" w:rsidP="00F8019A">
      <w:pPr>
        <w:pStyle w:val="Prrafodelista"/>
        <w:numPr>
          <w:ilvl w:val="0"/>
          <w:numId w:val="26"/>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Instructivos de manejo de cuentas</w:t>
      </w:r>
    </w:p>
    <w:p w:rsidR="00F8019A" w:rsidRPr="00F8019A" w:rsidRDefault="00F8019A" w:rsidP="00F8019A">
      <w:pPr>
        <w:pStyle w:val="Prrafodelista"/>
        <w:numPr>
          <w:ilvl w:val="0"/>
          <w:numId w:val="26"/>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Guías Contabilizadoras</w:t>
      </w:r>
    </w:p>
    <w:p w:rsidR="00F8019A" w:rsidRPr="00F8019A" w:rsidRDefault="00F8019A" w:rsidP="00F8019A">
      <w:pPr>
        <w:pStyle w:val="Prrafodelista"/>
        <w:numPr>
          <w:ilvl w:val="0"/>
          <w:numId w:val="26"/>
        </w:numPr>
        <w:spacing w:after="200" w:line="276" w:lineRule="auto"/>
        <w:jc w:val="both"/>
        <w:rPr>
          <w:rFonts w:ascii="Times New Roman" w:hAnsi="Times New Roman"/>
          <w:sz w:val="28"/>
          <w:szCs w:val="28"/>
          <w:lang w:val="es-MX"/>
        </w:rPr>
      </w:pPr>
      <w:r w:rsidRPr="00F8019A">
        <w:rPr>
          <w:rFonts w:ascii="Times New Roman" w:hAnsi="Times New Roman"/>
          <w:sz w:val="28"/>
          <w:szCs w:val="28"/>
          <w:lang w:val="es-MX"/>
        </w:rPr>
        <w:t>Estados financieros básicos a generar por el sistema y estructura de los mismos</w:t>
      </w:r>
    </w:p>
    <w:p w:rsidR="00F8019A" w:rsidRDefault="00F8019A" w:rsidP="00F8019A">
      <w:pPr>
        <w:pStyle w:val="Prrafodelista"/>
        <w:numPr>
          <w:ilvl w:val="0"/>
          <w:numId w:val="26"/>
        </w:numPr>
        <w:spacing w:after="200" w:line="276" w:lineRule="auto"/>
        <w:jc w:val="both"/>
        <w:rPr>
          <w:rFonts w:ascii="Times New Roman" w:hAnsi="Times New Roman"/>
          <w:lang w:val="es-MX"/>
        </w:rPr>
      </w:pPr>
      <w:r w:rsidRPr="00F8019A">
        <w:rPr>
          <w:rFonts w:ascii="Times New Roman" w:hAnsi="Times New Roman"/>
          <w:sz w:val="28"/>
          <w:szCs w:val="28"/>
          <w:lang w:val="es-MX"/>
        </w:rPr>
        <w:t>Normas o lineamientos que emita la autoridad competente en materia de contabilidad gubernamental en cada orden de gobierno</w:t>
      </w:r>
      <w:r>
        <w:rPr>
          <w:rFonts w:ascii="Times New Roman" w:hAnsi="Times New Roman"/>
          <w:lang w:val="es-MX"/>
        </w:rPr>
        <w:t>.</w:t>
      </w:r>
    </w:p>
    <w:p w:rsidR="00F8019A" w:rsidRDefault="00F8019A" w:rsidP="00F8019A">
      <w:pPr>
        <w:jc w:val="both"/>
        <w:rPr>
          <w:rFonts w:ascii="Times New Roman" w:hAnsi="Times New Roman"/>
          <w:lang w:val="es-MX"/>
        </w:rPr>
      </w:pPr>
    </w:p>
    <w:p w:rsidR="00F8019A" w:rsidRDefault="00F8019A" w:rsidP="00F8019A">
      <w:pPr>
        <w:jc w:val="both"/>
        <w:rPr>
          <w:rFonts w:ascii="Times New Roman" w:hAnsi="Times New Roman"/>
          <w:lang w:val="es-MX"/>
        </w:rPr>
      </w:pPr>
    </w:p>
    <w:p w:rsidR="00EB1933" w:rsidRDefault="005D317F" w:rsidP="005D317F">
      <w:pPr>
        <w:jc w:val="both"/>
        <w:rPr>
          <w:rFonts w:ascii="Times New Roman" w:hAnsi="Times New Roman"/>
          <w:b/>
          <w:i/>
          <w:color w:val="C00000"/>
          <w:sz w:val="28"/>
          <w:szCs w:val="28"/>
          <w:lang w:val="es-MX"/>
        </w:rPr>
      </w:pPr>
      <w:r w:rsidRPr="00876643">
        <w:rPr>
          <w:rFonts w:ascii="Times New Roman" w:hAnsi="Times New Roman"/>
          <w:b/>
          <w:i/>
          <w:color w:val="C00000"/>
          <w:sz w:val="28"/>
          <w:szCs w:val="28"/>
          <w:lang w:val="es-MX"/>
        </w:rPr>
        <w:t xml:space="preserve"> </w:t>
      </w:r>
    </w:p>
    <w:p w:rsidR="00EB1933" w:rsidRDefault="00EB1933" w:rsidP="00EB1933">
      <w:pPr>
        <w:jc w:val="both"/>
        <w:rPr>
          <w:rFonts w:ascii="Times New Roman" w:hAnsi="Times New Roman"/>
          <w:b/>
          <w:i/>
          <w:color w:val="943634" w:themeColor="accent2" w:themeShade="BF"/>
          <w:sz w:val="28"/>
          <w:szCs w:val="28"/>
          <w:lang w:val="es-MX"/>
        </w:rPr>
      </w:pPr>
      <w:r w:rsidRPr="00EB1933">
        <w:rPr>
          <w:rFonts w:ascii="Times New Roman" w:hAnsi="Times New Roman"/>
          <w:sz w:val="28"/>
          <w:szCs w:val="28"/>
          <w:lang w:val="es-MX"/>
        </w:rPr>
        <w:t xml:space="preserve">     La Ley de Contabilidad establece en su </w:t>
      </w:r>
      <w:r w:rsidRPr="00EB1933">
        <w:rPr>
          <w:rFonts w:ascii="Times New Roman" w:hAnsi="Times New Roman"/>
          <w:b/>
          <w:sz w:val="28"/>
          <w:szCs w:val="28"/>
          <w:lang w:val="es-MX"/>
        </w:rPr>
        <w:t>Artículo 41</w:t>
      </w:r>
      <w:r w:rsidRPr="00EB1933">
        <w:rPr>
          <w:rFonts w:ascii="Times New Roman" w:hAnsi="Times New Roman"/>
          <w:sz w:val="28"/>
          <w:szCs w:val="28"/>
          <w:lang w:val="es-MX"/>
        </w:rPr>
        <w:t xml:space="preserve"> que </w:t>
      </w:r>
      <w:r w:rsidRPr="00EB1933">
        <w:rPr>
          <w:rFonts w:ascii="Times New Roman" w:hAnsi="Times New Roman"/>
          <w:b/>
          <w:i/>
          <w:color w:val="943634" w:themeColor="accent2" w:themeShade="BF"/>
          <w:sz w:val="28"/>
          <w:szCs w:val="28"/>
          <w:lang w:val="es-MX"/>
        </w:rPr>
        <w:t>“para el registro único de las operaciones presupuestarias y contables, los entes públicos dispondrán de clasificadores presupuestarios, listas de cuentas y catálogos de bienes o instrumentos similares que permitan su interrelación automática.”</w:t>
      </w:r>
    </w:p>
    <w:p w:rsidR="00F8019A" w:rsidRDefault="00F8019A" w:rsidP="00EB1933">
      <w:pPr>
        <w:jc w:val="both"/>
        <w:rPr>
          <w:rFonts w:ascii="Times New Roman" w:hAnsi="Times New Roman"/>
          <w:b/>
          <w:i/>
          <w:color w:val="943634" w:themeColor="accent2" w:themeShade="BF"/>
          <w:sz w:val="28"/>
          <w:szCs w:val="28"/>
          <w:lang w:val="es-MX"/>
        </w:rPr>
      </w:pPr>
    </w:p>
    <w:p w:rsidR="00EB1933" w:rsidRPr="00EB1933" w:rsidRDefault="00EB1933" w:rsidP="00EB1933">
      <w:pPr>
        <w:jc w:val="both"/>
        <w:rPr>
          <w:rFonts w:ascii="Times New Roman" w:hAnsi="Times New Roman"/>
          <w:sz w:val="28"/>
          <w:szCs w:val="28"/>
          <w:lang w:val="es-MX"/>
        </w:rPr>
      </w:pPr>
    </w:p>
    <w:p w:rsidR="00EB1933" w:rsidRDefault="00EB1933" w:rsidP="00EB1933">
      <w:pPr>
        <w:jc w:val="both"/>
        <w:rPr>
          <w:rFonts w:ascii="Times New Roman" w:hAnsi="Times New Roman"/>
          <w:sz w:val="28"/>
          <w:szCs w:val="28"/>
          <w:lang w:val="es-MX"/>
        </w:rPr>
      </w:pPr>
      <w:r w:rsidRPr="00EB1933">
        <w:rPr>
          <w:rFonts w:ascii="Times New Roman" w:hAnsi="Times New Roman"/>
          <w:sz w:val="28"/>
          <w:szCs w:val="28"/>
          <w:lang w:val="es-MX"/>
        </w:rPr>
        <w:t xml:space="preserve">    De acuerdo con dicho marco legal, </w:t>
      </w:r>
      <w:r w:rsidRPr="00EB1933">
        <w:rPr>
          <w:rFonts w:ascii="Times New Roman" w:hAnsi="Times New Roman"/>
          <w:b/>
          <w:i/>
          <w:color w:val="943634" w:themeColor="accent2" w:themeShade="BF"/>
          <w:sz w:val="28"/>
          <w:szCs w:val="28"/>
          <w:lang w:val="es-MX"/>
        </w:rPr>
        <w:t>los clasificadores presupuestarios armonizados que requiere el SCG</w:t>
      </w:r>
      <w:r w:rsidRPr="00EB1933">
        <w:rPr>
          <w:rFonts w:ascii="Times New Roman" w:hAnsi="Times New Roman"/>
          <w:sz w:val="28"/>
          <w:szCs w:val="28"/>
          <w:lang w:val="es-MX"/>
        </w:rPr>
        <w:t xml:space="preserve"> para realizar la integración automática de los registros presupuestarios con los contables con los siguientes:</w:t>
      </w:r>
    </w:p>
    <w:p w:rsidR="00EB1933" w:rsidRPr="00EB1933" w:rsidRDefault="00EB1933" w:rsidP="00EB1933">
      <w:pPr>
        <w:jc w:val="both"/>
        <w:rPr>
          <w:rFonts w:ascii="Times New Roman" w:hAnsi="Times New Roman"/>
          <w:sz w:val="28"/>
          <w:szCs w:val="28"/>
          <w:lang w:val="es-MX"/>
        </w:rPr>
      </w:pPr>
    </w:p>
    <w:p w:rsidR="00EB1933" w:rsidRPr="00EB1933" w:rsidRDefault="00EB1933" w:rsidP="00EB1933">
      <w:pPr>
        <w:pStyle w:val="Prrafodelista"/>
        <w:numPr>
          <w:ilvl w:val="0"/>
          <w:numId w:val="23"/>
        </w:numPr>
        <w:spacing w:after="200" w:line="276" w:lineRule="auto"/>
        <w:jc w:val="both"/>
        <w:rPr>
          <w:rFonts w:ascii="Times New Roman" w:hAnsi="Times New Roman"/>
          <w:b/>
          <w:sz w:val="28"/>
          <w:szCs w:val="28"/>
          <w:lang w:val="es-MX"/>
        </w:rPr>
      </w:pPr>
      <w:r w:rsidRPr="00EB1933">
        <w:rPr>
          <w:rFonts w:ascii="Times New Roman" w:hAnsi="Times New Roman"/>
          <w:b/>
          <w:color w:val="943634" w:themeColor="accent2" w:themeShade="BF"/>
          <w:sz w:val="28"/>
          <w:szCs w:val="28"/>
          <w:lang w:val="es-MX"/>
        </w:rPr>
        <w:t>Clasificador por Rubros de Ingresos</w:t>
      </w:r>
      <w:r w:rsidRPr="00EB1933">
        <w:rPr>
          <w:rFonts w:ascii="Times New Roman" w:hAnsi="Times New Roman"/>
          <w:sz w:val="28"/>
          <w:szCs w:val="28"/>
          <w:lang w:val="es-MX"/>
        </w:rPr>
        <w:t xml:space="preserve"> </w:t>
      </w:r>
      <w:r w:rsidRPr="00EB1933">
        <w:rPr>
          <w:rFonts w:ascii="Times New Roman" w:hAnsi="Times New Roman"/>
          <w:b/>
          <w:i/>
          <w:sz w:val="28"/>
          <w:szCs w:val="28"/>
          <w:lang w:val="es-MX"/>
        </w:rPr>
        <w:t>(rubro, tipo, clase y concepto)</w:t>
      </w:r>
    </w:p>
    <w:p w:rsidR="00EB1933" w:rsidRPr="00EB1933" w:rsidRDefault="00EB1933" w:rsidP="00EB1933">
      <w:pPr>
        <w:pStyle w:val="Prrafodelista"/>
        <w:numPr>
          <w:ilvl w:val="0"/>
          <w:numId w:val="23"/>
        </w:numPr>
        <w:spacing w:after="200" w:line="276" w:lineRule="auto"/>
        <w:jc w:val="both"/>
        <w:rPr>
          <w:rFonts w:ascii="Times New Roman" w:hAnsi="Times New Roman"/>
          <w:b/>
          <w:i/>
          <w:sz w:val="28"/>
          <w:szCs w:val="28"/>
          <w:lang w:val="es-MX"/>
        </w:rPr>
      </w:pPr>
      <w:r w:rsidRPr="00EB1933">
        <w:rPr>
          <w:rFonts w:ascii="Times New Roman" w:hAnsi="Times New Roman"/>
          <w:b/>
          <w:color w:val="943634" w:themeColor="accent2" w:themeShade="BF"/>
          <w:sz w:val="28"/>
          <w:szCs w:val="28"/>
          <w:lang w:val="es-MX"/>
        </w:rPr>
        <w:t>Clasificador por Objeto del Gasto</w:t>
      </w:r>
      <w:r w:rsidRPr="00EB1933">
        <w:rPr>
          <w:rFonts w:ascii="Times New Roman" w:hAnsi="Times New Roman"/>
          <w:sz w:val="28"/>
          <w:szCs w:val="28"/>
          <w:lang w:val="es-MX"/>
        </w:rPr>
        <w:t xml:space="preserve"> </w:t>
      </w:r>
      <w:r w:rsidRPr="00EB1933">
        <w:rPr>
          <w:rFonts w:ascii="Times New Roman" w:hAnsi="Times New Roman"/>
          <w:b/>
          <w:i/>
          <w:sz w:val="28"/>
          <w:szCs w:val="28"/>
          <w:lang w:val="es-MX"/>
        </w:rPr>
        <w:t>(capítulo, concepto y partida)</w:t>
      </w:r>
    </w:p>
    <w:p w:rsidR="00EB1933" w:rsidRPr="00EB1933" w:rsidRDefault="00EB1933" w:rsidP="00EB1933">
      <w:pPr>
        <w:pStyle w:val="Prrafodelista"/>
        <w:numPr>
          <w:ilvl w:val="0"/>
          <w:numId w:val="23"/>
        </w:numPr>
        <w:spacing w:after="200" w:line="276" w:lineRule="auto"/>
        <w:jc w:val="both"/>
        <w:rPr>
          <w:rFonts w:ascii="Times New Roman" w:hAnsi="Times New Roman"/>
          <w:b/>
          <w:color w:val="943634" w:themeColor="accent2" w:themeShade="BF"/>
          <w:sz w:val="28"/>
          <w:szCs w:val="28"/>
          <w:lang w:val="es-MX"/>
        </w:rPr>
      </w:pPr>
      <w:r w:rsidRPr="00EB1933">
        <w:rPr>
          <w:rFonts w:ascii="Times New Roman" w:hAnsi="Times New Roman"/>
          <w:b/>
          <w:color w:val="943634" w:themeColor="accent2" w:themeShade="BF"/>
          <w:sz w:val="28"/>
          <w:szCs w:val="28"/>
          <w:lang w:val="es-MX"/>
        </w:rPr>
        <w:t>Clasificador por Tipo de Gasto</w:t>
      </w:r>
    </w:p>
    <w:p w:rsidR="00EB1933" w:rsidRDefault="00EB1933" w:rsidP="005D317F">
      <w:pPr>
        <w:jc w:val="both"/>
        <w:rPr>
          <w:rFonts w:ascii="Times New Roman" w:hAnsi="Times New Roman"/>
          <w:b/>
          <w:i/>
          <w:color w:val="C00000"/>
          <w:sz w:val="28"/>
          <w:szCs w:val="28"/>
          <w:lang w:val="es-MX"/>
        </w:rPr>
      </w:pPr>
    </w:p>
    <w:p w:rsidR="00F8019A" w:rsidRDefault="00F8019A" w:rsidP="005D317F">
      <w:pPr>
        <w:jc w:val="both"/>
        <w:rPr>
          <w:rFonts w:ascii="Times New Roman" w:hAnsi="Times New Roman"/>
          <w:b/>
          <w:i/>
          <w:color w:val="C00000"/>
          <w:sz w:val="28"/>
          <w:szCs w:val="28"/>
          <w:lang w:val="es-MX"/>
        </w:rPr>
      </w:pPr>
    </w:p>
    <w:p w:rsidR="00F8019A" w:rsidRDefault="00F8019A" w:rsidP="005D317F">
      <w:pPr>
        <w:jc w:val="both"/>
        <w:rPr>
          <w:rFonts w:ascii="Times New Roman" w:hAnsi="Times New Roman"/>
          <w:b/>
          <w:i/>
          <w:color w:val="C00000"/>
          <w:sz w:val="28"/>
          <w:szCs w:val="28"/>
          <w:lang w:val="es-MX"/>
        </w:rPr>
      </w:pPr>
    </w:p>
    <w:p w:rsidR="00EB1933" w:rsidRDefault="00EB1933" w:rsidP="005D317F">
      <w:pPr>
        <w:jc w:val="both"/>
        <w:rPr>
          <w:rFonts w:ascii="Times New Roman" w:hAnsi="Times New Roman"/>
          <w:b/>
          <w:i/>
          <w:color w:val="C00000"/>
          <w:sz w:val="28"/>
          <w:szCs w:val="28"/>
          <w:lang w:val="es-MX"/>
        </w:rPr>
      </w:pPr>
      <w:r w:rsidRPr="00876643">
        <w:rPr>
          <w:rFonts w:ascii="Times New Roman" w:hAnsi="Times New Roman"/>
          <w:sz w:val="22"/>
          <w:szCs w:val="22"/>
          <w:lang w:val="es-MX" w:eastAsia="es-MX"/>
        </w:rPr>
        <w:object w:dxaOrig="7191" w:dyaOrig="5402">
          <v:shape id="_x0000_i1037" type="#_x0000_t75" style="width:465pt;height:239.25pt" o:ole="">
            <v:imagedata r:id="rId31" o:title=""/>
          </v:shape>
          <o:OLEObject Type="Embed" ProgID="PowerPoint.Slide.12" ShapeID="_x0000_i1037" DrawAspect="Content" ObjectID="_1406475746" r:id="rId32"/>
        </w:object>
      </w:r>
    </w:p>
    <w:p w:rsidR="00EB1933" w:rsidRDefault="00EB1933" w:rsidP="005D317F">
      <w:pPr>
        <w:jc w:val="both"/>
        <w:rPr>
          <w:rFonts w:ascii="Times New Roman" w:hAnsi="Times New Roman"/>
          <w:b/>
          <w:i/>
          <w:color w:val="C00000"/>
          <w:sz w:val="28"/>
          <w:szCs w:val="28"/>
          <w:lang w:val="es-MX"/>
        </w:rPr>
      </w:pPr>
    </w:p>
    <w:p w:rsidR="00EB1933" w:rsidRDefault="00EB1933" w:rsidP="005D317F">
      <w:pPr>
        <w:jc w:val="both"/>
        <w:rPr>
          <w:rFonts w:ascii="Times New Roman" w:hAnsi="Times New Roman"/>
          <w:b/>
          <w:i/>
          <w:color w:val="C00000"/>
          <w:sz w:val="28"/>
          <w:szCs w:val="28"/>
          <w:lang w:val="es-MX"/>
        </w:rPr>
      </w:pPr>
    </w:p>
    <w:p w:rsidR="00EB1933" w:rsidRDefault="00EB1933" w:rsidP="005D317F">
      <w:pPr>
        <w:jc w:val="both"/>
        <w:rPr>
          <w:rFonts w:ascii="Times New Roman" w:hAnsi="Times New Roman"/>
          <w:b/>
          <w:i/>
          <w:color w:val="C00000"/>
          <w:sz w:val="28"/>
          <w:szCs w:val="28"/>
          <w:lang w:val="es-MX"/>
        </w:rPr>
      </w:pPr>
    </w:p>
    <w:p w:rsidR="00B4401A" w:rsidRDefault="00B4401A" w:rsidP="00B4401A">
      <w:pPr>
        <w:jc w:val="both"/>
        <w:rPr>
          <w:rFonts w:ascii="Cambria" w:hAnsi="Cambria"/>
          <w:b/>
          <w:sz w:val="32"/>
          <w:szCs w:val="32"/>
          <w:lang w:val="es-MX" w:eastAsia="es-MX"/>
        </w:rPr>
      </w:pPr>
    </w:p>
    <w:p w:rsidR="00F8019A" w:rsidRDefault="00F8019A" w:rsidP="00B4401A">
      <w:pPr>
        <w:jc w:val="both"/>
        <w:rPr>
          <w:rFonts w:ascii="Cambria" w:hAnsi="Cambria"/>
          <w:b/>
          <w:sz w:val="32"/>
          <w:szCs w:val="32"/>
          <w:lang w:val="es-MX" w:eastAsia="es-MX"/>
        </w:rPr>
      </w:pPr>
    </w:p>
    <w:p w:rsidR="00F8019A" w:rsidRDefault="00F8019A" w:rsidP="00B4401A">
      <w:pPr>
        <w:jc w:val="both"/>
        <w:rPr>
          <w:rFonts w:ascii="Cambria" w:hAnsi="Cambria"/>
          <w:b/>
          <w:sz w:val="32"/>
          <w:szCs w:val="32"/>
          <w:lang w:val="es-MX" w:eastAsia="es-MX"/>
        </w:rPr>
      </w:pPr>
    </w:p>
    <w:p w:rsidR="00B4401A" w:rsidRDefault="00B4401A" w:rsidP="00B4401A">
      <w:pPr>
        <w:jc w:val="both"/>
        <w:rPr>
          <w:rFonts w:ascii="Cambria" w:hAnsi="Cambria"/>
          <w:b/>
          <w:sz w:val="32"/>
          <w:szCs w:val="32"/>
          <w:lang w:val="es-MX" w:eastAsia="es-MX"/>
        </w:rPr>
      </w:pPr>
      <w:r>
        <w:rPr>
          <w:rFonts w:ascii="Cambria" w:hAnsi="Cambria"/>
          <w:b/>
          <w:sz w:val="32"/>
          <w:szCs w:val="32"/>
          <w:lang w:val="es-MX" w:eastAsia="es-MX"/>
        </w:rPr>
        <w:t>2.1   CLASIFICADOR POR OBJETO DEL GASTO</w:t>
      </w:r>
    </w:p>
    <w:p w:rsidR="00B4401A" w:rsidRDefault="00B4401A" w:rsidP="00B4401A">
      <w:pPr>
        <w:jc w:val="both"/>
        <w:rPr>
          <w:rFonts w:ascii="Cambria" w:hAnsi="Cambria"/>
          <w:b/>
          <w:sz w:val="32"/>
          <w:szCs w:val="32"/>
          <w:lang w:val="es-MX" w:eastAsia="es-MX"/>
        </w:rPr>
      </w:pPr>
    </w:p>
    <w:p w:rsidR="005D317F" w:rsidRPr="00B4401A" w:rsidRDefault="005D317F" w:rsidP="00B4401A">
      <w:pPr>
        <w:spacing w:after="200" w:line="276" w:lineRule="auto"/>
        <w:ind w:left="360"/>
        <w:jc w:val="both"/>
        <w:rPr>
          <w:rFonts w:ascii="Times New Roman" w:hAnsi="Times New Roman"/>
          <w:sz w:val="28"/>
          <w:szCs w:val="28"/>
          <w:lang w:val="es-MX"/>
        </w:rPr>
      </w:pPr>
      <w:r w:rsidRPr="00B4401A">
        <w:rPr>
          <w:rFonts w:ascii="Times New Roman" w:hAnsi="Times New Roman"/>
          <w:b/>
          <w:i/>
          <w:color w:val="C00000"/>
          <w:sz w:val="28"/>
          <w:szCs w:val="28"/>
          <w:lang w:val="es-MX"/>
        </w:rPr>
        <w:t xml:space="preserve">    Este instrumento presupuestario</w:t>
      </w:r>
      <w:r w:rsidRPr="00B4401A">
        <w:rPr>
          <w:rFonts w:ascii="Times New Roman" w:hAnsi="Times New Roman"/>
          <w:sz w:val="28"/>
          <w:szCs w:val="28"/>
          <w:lang w:val="es-MX"/>
        </w:rPr>
        <w:t xml:space="preserve"> brinda información para el seguimiento y análisis de la gestión financiera gubernamental, permite conocer en qué conceptos se gasta y cuantificar la demanda de bienes y servicios que realiza el sector público sobre la economía nacional.</w:t>
      </w:r>
    </w:p>
    <w:p w:rsidR="005D317F" w:rsidRPr="005D317F" w:rsidRDefault="005D317F" w:rsidP="005D317F">
      <w:pPr>
        <w:jc w:val="both"/>
        <w:rPr>
          <w:rFonts w:ascii="Times New Roman" w:hAnsi="Times New Roman"/>
          <w:sz w:val="28"/>
          <w:szCs w:val="28"/>
          <w:lang w:val="es-MX"/>
        </w:rPr>
      </w:pPr>
    </w:p>
    <w:p w:rsidR="00876643" w:rsidRPr="00876643" w:rsidRDefault="005D317F" w:rsidP="005D317F">
      <w:pPr>
        <w:jc w:val="both"/>
        <w:rPr>
          <w:rFonts w:ascii="Times New Roman" w:hAnsi="Times New Roman"/>
          <w:b/>
          <w:i/>
          <w:color w:val="C00000"/>
          <w:sz w:val="28"/>
          <w:szCs w:val="28"/>
          <w:lang w:val="es-MX"/>
        </w:rPr>
      </w:pPr>
      <w:r w:rsidRPr="005D317F">
        <w:rPr>
          <w:rFonts w:ascii="Times New Roman" w:hAnsi="Times New Roman"/>
          <w:sz w:val="28"/>
          <w:szCs w:val="28"/>
          <w:lang w:val="es-MX"/>
        </w:rPr>
        <w:t xml:space="preserve">      El Clasificador por Objeto del Gasto es aplicable a todas las transacciones que realizan los entes públicos para obtener los bienes y servicios que utilizan y realizar transferencias e inversiones financieras, </w:t>
      </w:r>
      <w:r w:rsidRPr="00876643">
        <w:rPr>
          <w:rFonts w:ascii="Times New Roman" w:hAnsi="Times New Roman"/>
          <w:b/>
          <w:i/>
          <w:color w:val="C00000"/>
          <w:sz w:val="28"/>
          <w:szCs w:val="28"/>
          <w:lang w:val="es-MX"/>
        </w:rPr>
        <w:t>en el marco del Presupuesto de Egresos</w:t>
      </w:r>
    </w:p>
    <w:p w:rsidR="00876643" w:rsidRDefault="00876643" w:rsidP="005D317F">
      <w:pPr>
        <w:jc w:val="both"/>
        <w:rPr>
          <w:rFonts w:ascii="Times New Roman" w:hAnsi="Times New Roman"/>
          <w:sz w:val="28"/>
          <w:szCs w:val="28"/>
          <w:lang w:val="es-MX"/>
        </w:rPr>
      </w:pPr>
    </w:p>
    <w:p w:rsidR="00876643" w:rsidRDefault="00876643" w:rsidP="005D317F">
      <w:pPr>
        <w:jc w:val="both"/>
        <w:rPr>
          <w:rFonts w:ascii="Times New Roman" w:hAnsi="Times New Roman"/>
          <w:sz w:val="28"/>
          <w:szCs w:val="28"/>
          <w:lang w:val="es-MX"/>
        </w:rPr>
      </w:pPr>
    </w:p>
    <w:p w:rsidR="00876643" w:rsidRDefault="00876643" w:rsidP="005D317F">
      <w:pPr>
        <w:jc w:val="both"/>
        <w:rPr>
          <w:rFonts w:ascii="Times New Roman" w:hAnsi="Times New Roman"/>
          <w:sz w:val="28"/>
          <w:szCs w:val="28"/>
          <w:lang w:val="es-MX"/>
        </w:rPr>
      </w:pPr>
      <w:r w:rsidRPr="00876643">
        <w:rPr>
          <w:rFonts w:ascii="Times New Roman" w:hAnsi="Times New Roman"/>
          <w:sz w:val="22"/>
          <w:szCs w:val="22"/>
          <w:lang w:val="es-MX" w:eastAsia="es-MX"/>
        </w:rPr>
        <w:object w:dxaOrig="7191" w:dyaOrig="5402">
          <v:shape id="_x0000_i1038" type="#_x0000_t75" style="width:469.5pt;height:293.25pt" o:ole="">
            <v:imagedata r:id="rId33" o:title=""/>
          </v:shape>
          <o:OLEObject Type="Embed" ProgID="PowerPoint.Slide.12" ShapeID="_x0000_i1038" DrawAspect="Content" ObjectID="_1406475747" r:id="rId34"/>
        </w:object>
      </w:r>
    </w:p>
    <w:p w:rsidR="00876643" w:rsidRPr="00634533" w:rsidRDefault="00876643" w:rsidP="00876643">
      <w:pPr>
        <w:jc w:val="both"/>
        <w:rPr>
          <w:rFonts w:ascii="Cambria" w:hAnsi="Cambria" w:cs="Calibri"/>
          <w:b/>
          <w:sz w:val="28"/>
          <w:szCs w:val="28"/>
        </w:rPr>
      </w:pPr>
      <w:r>
        <w:rPr>
          <w:rFonts w:ascii="Cambria" w:hAnsi="Cambria" w:cs="Calibri"/>
          <w:b/>
          <w:noProof/>
          <w:sz w:val="28"/>
          <w:szCs w:val="28"/>
          <w:lang w:val="es-MX" w:eastAsia="es-MX"/>
        </w:rPr>
        <w:lastRenderedPageBreak/>
        <w:drawing>
          <wp:inline distT="0" distB="0" distL="0" distR="0">
            <wp:extent cx="6153150" cy="3524250"/>
            <wp:effectExtent l="19050" t="19050" r="19050" b="19050"/>
            <wp:docPr id="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6161682" cy="3529137"/>
                    </a:xfrm>
                    <a:prstGeom prst="rect">
                      <a:avLst/>
                    </a:prstGeom>
                    <a:noFill/>
                    <a:ln cmpd="dbl">
                      <a:solidFill>
                        <a:schemeClr val="tx1"/>
                      </a:solidFill>
                    </a:ln>
                  </pic:spPr>
                </pic:pic>
              </a:graphicData>
            </a:graphic>
          </wp:inline>
        </w:drawing>
      </w:r>
    </w:p>
    <w:p w:rsidR="00876643" w:rsidRDefault="00876643" w:rsidP="005D317F">
      <w:pPr>
        <w:jc w:val="both"/>
        <w:rPr>
          <w:rFonts w:ascii="Times New Roman" w:hAnsi="Times New Roman"/>
          <w:sz w:val="28"/>
          <w:szCs w:val="28"/>
          <w:lang w:val="es-MX"/>
        </w:rPr>
      </w:pPr>
    </w:p>
    <w:p w:rsidR="00304174" w:rsidRDefault="00304174" w:rsidP="005D317F">
      <w:pPr>
        <w:jc w:val="both"/>
        <w:rPr>
          <w:rFonts w:ascii="Times New Roman" w:hAnsi="Times New Roman"/>
          <w:sz w:val="28"/>
          <w:szCs w:val="28"/>
          <w:lang w:val="es-MX"/>
        </w:rPr>
      </w:pPr>
    </w:p>
    <w:p w:rsidR="00304174" w:rsidRDefault="00304174" w:rsidP="005D317F">
      <w:pPr>
        <w:jc w:val="both"/>
        <w:rPr>
          <w:rFonts w:ascii="Times New Roman" w:hAnsi="Times New Roman"/>
          <w:sz w:val="28"/>
          <w:szCs w:val="28"/>
          <w:lang w:val="es-MX"/>
        </w:rPr>
      </w:pPr>
    </w:p>
    <w:p w:rsidR="005D317F" w:rsidRDefault="005D317F" w:rsidP="005D317F">
      <w:pPr>
        <w:jc w:val="both"/>
        <w:rPr>
          <w:rFonts w:ascii="Times New Roman" w:hAnsi="Times New Roman"/>
          <w:sz w:val="28"/>
          <w:szCs w:val="28"/>
          <w:lang w:val="es-MX"/>
        </w:rPr>
      </w:pPr>
      <w:r w:rsidRPr="005D317F">
        <w:rPr>
          <w:rFonts w:ascii="Times New Roman" w:hAnsi="Times New Roman"/>
          <w:sz w:val="28"/>
          <w:szCs w:val="28"/>
          <w:lang w:val="es-MX"/>
        </w:rPr>
        <w:t xml:space="preserve">      Dicho clasificador fue diseñado </w:t>
      </w:r>
      <w:r w:rsidRPr="00876643">
        <w:rPr>
          <w:rFonts w:ascii="Times New Roman" w:hAnsi="Times New Roman"/>
          <w:b/>
          <w:i/>
          <w:color w:val="C00000"/>
          <w:sz w:val="28"/>
          <w:szCs w:val="28"/>
          <w:lang w:val="es-MX"/>
        </w:rPr>
        <w:t>con un nivel de desagregación</w:t>
      </w:r>
      <w:r w:rsidRPr="005D317F">
        <w:rPr>
          <w:rFonts w:ascii="Times New Roman" w:hAnsi="Times New Roman"/>
          <w:sz w:val="28"/>
          <w:szCs w:val="28"/>
          <w:lang w:val="es-MX"/>
        </w:rPr>
        <w:t xml:space="preserve"> y especialización que permite el registro de las transacciones presupuestarias que realizan los entes públicos se integre automáticamente con las operaciones contables de los mismos.  </w:t>
      </w:r>
    </w:p>
    <w:p w:rsidR="00F24E6F" w:rsidRDefault="00F24E6F"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B4401A" w:rsidRDefault="00B4401A" w:rsidP="00CA0E66">
      <w:pPr>
        <w:shd w:val="clear" w:color="auto" w:fill="FFFFFF"/>
        <w:spacing w:before="100" w:beforeAutospacing="1" w:after="100" w:afterAutospacing="1"/>
        <w:jc w:val="both"/>
        <w:rPr>
          <w:rFonts w:ascii="Cambria" w:hAnsi="Cambria" w:cs="Calibri"/>
          <w:b/>
          <w:sz w:val="28"/>
          <w:szCs w:val="28"/>
          <w:lang w:val="es-MX"/>
        </w:rPr>
      </w:pPr>
    </w:p>
    <w:p w:rsidR="00304174" w:rsidRDefault="00304174" w:rsidP="00876643">
      <w:pPr>
        <w:jc w:val="both"/>
        <w:rPr>
          <w:rFonts w:ascii="Cambria" w:hAnsi="Cambria"/>
          <w:b/>
          <w:sz w:val="32"/>
          <w:szCs w:val="32"/>
          <w:lang w:val="es-MX" w:eastAsia="es-MX"/>
        </w:rPr>
      </w:pPr>
    </w:p>
    <w:p w:rsidR="00876643" w:rsidRDefault="00876643" w:rsidP="00876643">
      <w:pPr>
        <w:jc w:val="both"/>
        <w:rPr>
          <w:rFonts w:ascii="Cambria" w:hAnsi="Cambria"/>
          <w:b/>
          <w:sz w:val="32"/>
          <w:szCs w:val="32"/>
          <w:lang w:val="es-MX" w:eastAsia="es-MX"/>
        </w:rPr>
      </w:pPr>
      <w:r>
        <w:rPr>
          <w:rFonts w:ascii="Cambria" w:hAnsi="Cambria"/>
          <w:b/>
          <w:sz w:val="32"/>
          <w:szCs w:val="32"/>
          <w:lang w:val="es-MX" w:eastAsia="es-MX"/>
        </w:rPr>
        <w:t>2.2  MOMENTOS CONTABLES DE LOS EGRESOS</w:t>
      </w:r>
    </w:p>
    <w:p w:rsidR="00B4401A" w:rsidRDefault="00B4401A" w:rsidP="00876643">
      <w:pPr>
        <w:jc w:val="both"/>
        <w:rPr>
          <w:rFonts w:ascii="Cambria" w:hAnsi="Cambria"/>
          <w:b/>
          <w:sz w:val="32"/>
          <w:szCs w:val="32"/>
          <w:lang w:val="es-MX" w:eastAsia="es-MX"/>
        </w:rPr>
      </w:pPr>
    </w:p>
    <w:p w:rsidR="00B4401A" w:rsidRPr="007513D5" w:rsidRDefault="00B4401A" w:rsidP="00B4401A">
      <w:pPr>
        <w:jc w:val="both"/>
        <w:rPr>
          <w:rFonts w:ascii="Times New Roman" w:hAnsi="Times New Roman"/>
          <w:b/>
          <w:lang w:val="es-MX"/>
        </w:rPr>
      </w:pPr>
      <w:r>
        <w:rPr>
          <w:rFonts w:ascii="Times New Roman" w:hAnsi="Times New Roman"/>
          <w:lang w:val="es-MX"/>
        </w:rPr>
        <w:t xml:space="preserve">       </w:t>
      </w:r>
    </w:p>
    <w:p w:rsidR="00B4401A" w:rsidRDefault="00B4401A" w:rsidP="00B4401A">
      <w:pPr>
        <w:jc w:val="both"/>
        <w:rPr>
          <w:rFonts w:ascii="Times New Roman" w:hAnsi="Times New Roman"/>
          <w:sz w:val="28"/>
          <w:szCs w:val="28"/>
          <w:lang w:val="es-MX"/>
        </w:rPr>
      </w:pPr>
      <w:r w:rsidRPr="00B4401A">
        <w:rPr>
          <w:rFonts w:ascii="Times New Roman" w:hAnsi="Times New Roman"/>
          <w:lang w:val="es-MX"/>
        </w:rPr>
        <w:t xml:space="preserve">       </w:t>
      </w:r>
      <w:r w:rsidRPr="00B4401A">
        <w:rPr>
          <w:rFonts w:ascii="Times New Roman" w:hAnsi="Times New Roman"/>
          <w:sz w:val="28"/>
          <w:szCs w:val="28"/>
          <w:lang w:val="es-MX"/>
        </w:rPr>
        <w:t xml:space="preserve">El </w:t>
      </w:r>
      <w:r w:rsidRPr="00B4401A">
        <w:rPr>
          <w:rFonts w:ascii="Times New Roman" w:hAnsi="Times New Roman"/>
          <w:b/>
          <w:sz w:val="28"/>
          <w:szCs w:val="28"/>
          <w:lang w:val="es-MX"/>
        </w:rPr>
        <w:t>Artículo 38</w:t>
      </w:r>
      <w:r w:rsidRPr="00B4401A">
        <w:rPr>
          <w:rFonts w:ascii="Times New Roman" w:hAnsi="Times New Roman"/>
          <w:sz w:val="28"/>
          <w:szCs w:val="28"/>
          <w:lang w:val="es-MX"/>
        </w:rPr>
        <w:t xml:space="preserve"> de la Ley de Contabilidad establece que </w:t>
      </w:r>
      <w:r w:rsidRPr="00B4401A">
        <w:rPr>
          <w:rFonts w:ascii="Times New Roman" w:hAnsi="Times New Roman"/>
          <w:b/>
          <w:i/>
          <w:color w:val="943634" w:themeColor="accent2" w:themeShade="BF"/>
          <w:sz w:val="28"/>
          <w:szCs w:val="28"/>
          <w:lang w:val="es-MX"/>
        </w:rPr>
        <w:t xml:space="preserve">el registro de las etapas del presupuesto </w:t>
      </w:r>
      <w:r w:rsidRPr="00B4401A">
        <w:rPr>
          <w:rFonts w:ascii="Times New Roman" w:hAnsi="Times New Roman"/>
          <w:sz w:val="28"/>
          <w:szCs w:val="28"/>
          <w:lang w:val="es-MX"/>
        </w:rPr>
        <w:t>de los entes públicos se efectuará en las cuentas contables que, para tal efecto, establezca el Consejo, las cuales deberán reflejar:</w:t>
      </w:r>
    </w:p>
    <w:p w:rsidR="00B4401A" w:rsidRPr="00B4401A" w:rsidRDefault="00B4401A" w:rsidP="00B4401A">
      <w:pPr>
        <w:jc w:val="both"/>
        <w:rPr>
          <w:rFonts w:ascii="Times New Roman" w:hAnsi="Times New Roman"/>
          <w:sz w:val="28"/>
          <w:szCs w:val="28"/>
          <w:lang w:val="es-MX"/>
        </w:rPr>
      </w:pPr>
    </w:p>
    <w:p w:rsidR="00B4401A" w:rsidRDefault="00B4401A" w:rsidP="00B4401A">
      <w:pPr>
        <w:jc w:val="both"/>
        <w:rPr>
          <w:rFonts w:ascii="Times New Roman" w:hAnsi="Times New Roman"/>
          <w:sz w:val="28"/>
          <w:szCs w:val="28"/>
          <w:lang w:val="es-MX"/>
        </w:rPr>
      </w:pPr>
      <w:r w:rsidRPr="00B4401A">
        <w:rPr>
          <w:rFonts w:ascii="Times New Roman" w:hAnsi="Times New Roman"/>
          <w:sz w:val="28"/>
          <w:szCs w:val="28"/>
          <w:lang w:val="es-MX"/>
        </w:rPr>
        <w:t xml:space="preserve">       I.  En lo relativo </w:t>
      </w:r>
      <w:r w:rsidRPr="00B4401A">
        <w:rPr>
          <w:rFonts w:ascii="Times New Roman" w:hAnsi="Times New Roman"/>
          <w:b/>
          <w:sz w:val="28"/>
          <w:szCs w:val="28"/>
          <w:lang w:val="es-MX"/>
        </w:rPr>
        <w:t>al gasto</w:t>
      </w:r>
      <w:r w:rsidRPr="00B4401A">
        <w:rPr>
          <w:rFonts w:ascii="Times New Roman" w:hAnsi="Times New Roman"/>
          <w:sz w:val="28"/>
          <w:szCs w:val="28"/>
          <w:lang w:val="es-MX"/>
        </w:rPr>
        <w:t>, el aprobado, modificado, comprometido, devengado, ejercido y pagado; y</w:t>
      </w:r>
    </w:p>
    <w:p w:rsidR="00B4401A" w:rsidRPr="00B4401A" w:rsidRDefault="00B4401A" w:rsidP="00B4401A">
      <w:pPr>
        <w:jc w:val="both"/>
        <w:rPr>
          <w:rFonts w:ascii="Times New Roman" w:hAnsi="Times New Roman"/>
          <w:sz w:val="28"/>
          <w:szCs w:val="28"/>
          <w:lang w:val="es-MX"/>
        </w:rPr>
      </w:pPr>
    </w:p>
    <w:p w:rsidR="00B4401A" w:rsidRDefault="00B4401A" w:rsidP="00B4401A">
      <w:pPr>
        <w:jc w:val="both"/>
        <w:rPr>
          <w:rFonts w:ascii="Times New Roman" w:hAnsi="Times New Roman"/>
          <w:sz w:val="28"/>
          <w:szCs w:val="28"/>
          <w:lang w:val="es-MX"/>
        </w:rPr>
      </w:pPr>
      <w:r w:rsidRPr="00B4401A">
        <w:rPr>
          <w:rFonts w:ascii="Times New Roman" w:hAnsi="Times New Roman"/>
          <w:sz w:val="28"/>
          <w:szCs w:val="28"/>
          <w:lang w:val="es-MX"/>
        </w:rPr>
        <w:t xml:space="preserve">      II.   En lo relativo </w:t>
      </w:r>
      <w:r w:rsidRPr="00B4401A">
        <w:rPr>
          <w:rFonts w:ascii="Times New Roman" w:hAnsi="Times New Roman"/>
          <w:b/>
          <w:sz w:val="28"/>
          <w:szCs w:val="28"/>
          <w:lang w:val="es-MX"/>
        </w:rPr>
        <w:t>al ingreso</w:t>
      </w:r>
      <w:r w:rsidRPr="00B4401A">
        <w:rPr>
          <w:rFonts w:ascii="Times New Roman" w:hAnsi="Times New Roman"/>
          <w:sz w:val="28"/>
          <w:szCs w:val="28"/>
          <w:lang w:val="es-MX"/>
        </w:rPr>
        <w:t>, el estimado, modificado, devengado y recaudado.</w:t>
      </w:r>
    </w:p>
    <w:p w:rsidR="00B4401A" w:rsidRDefault="00B4401A" w:rsidP="00B4401A">
      <w:pPr>
        <w:jc w:val="both"/>
        <w:rPr>
          <w:rFonts w:ascii="Times New Roman" w:hAnsi="Times New Roman"/>
          <w:sz w:val="28"/>
          <w:szCs w:val="28"/>
          <w:lang w:val="es-MX"/>
        </w:rPr>
      </w:pPr>
    </w:p>
    <w:p w:rsidR="00B4401A" w:rsidRDefault="00B4401A" w:rsidP="00B4401A">
      <w:pPr>
        <w:jc w:val="both"/>
        <w:rPr>
          <w:rFonts w:ascii="Times New Roman" w:hAnsi="Times New Roman"/>
          <w:sz w:val="28"/>
          <w:szCs w:val="28"/>
          <w:lang w:val="es-MX"/>
        </w:rPr>
      </w:pPr>
    </w:p>
    <w:p w:rsidR="00B4401A" w:rsidRDefault="00B4401A" w:rsidP="00B4401A">
      <w:pPr>
        <w:jc w:val="both"/>
        <w:rPr>
          <w:rFonts w:ascii="Times New Roman" w:hAnsi="Times New Roman"/>
          <w:sz w:val="28"/>
          <w:szCs w:val="28"/>
          <w:lang w:val="es-MX"/>
        </w:rPr>
      </w:pPr>
    </w:p>
    <w:p w:rsidR="00B4401A" w:rsidRDefault="00B704D0" w:rsidP="00B4401A">
      <w:pPr>
        <w:jc w:val="both"/>
        <w:rPr>
          <w:rFonts w:ascii="Times New Roman" w:hAnsi="Times New Roman"/>
          <w:sz w:val="28"/>
          <w:szCs w:val="28"/>
          <w:lang w:val="es-MX"/>
        </w:rPr>
      </w:pPr>
      <w:r w:rsidRPr="005A4EBC">
        <w:rPr>
          <w:rFonts w:ascii="Times New Roman" w:hAnsi="Times New Roman"/>
          <w:sz w:val="22"/>
          <w:szCs w:val="22"/>
          <w:lang w:val="es-MX" w:eastAsia="es-MX"/>
        </w:rPr>
        <w:object w:dxaOrig="7191" w:dyaOrig="5402">
          <v:shape id="_x0000_i1039" type="#_x0000_t75" style="width:477pt;height:339.75pt" o:ole="">
            <v:imagedata r:id="rId36" o:title=""/>
          </v:shape>
          <o:OLEObject Type="Embed" ProgID="PowerPoint.Slide.12" ShapeID="_x0000_i1039" DrawAspect="Content" ObjectID="_1406475748" r:id="rId37"/>
        </w:object>
      </w:r>
    </w:p>
    <w:p w:rsidR="00B4401A" w:rsidRDefault="00B4401A" w:rsidP="00B4401A">
      <w:pPr>
        <w:jc w:val="both"/>
        <w:rPr>
          <w:rFonts w:ascii="Times New Roman" w:hAnsi="Times New Roman"/>
          <w:sz w:val="28"/>
          <w:szCs w:val="28"/>
          <w:lang w:val="es-MX"/>
        </w:rPr>
      </w:pPr>
    </w:p>
    <w:p w:rsidR="007063E4"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En el marco de la normativa vigente, a continuación </w:t>
      </w:r>
      <w:r w:rsidRPr="00B4401A">
        <w:rPr>
          <w:rFonts w:ascii="Times New Roman" w:hAnsi="Times New Roman"/>
          <w:b/>
          <w:color w:val="943634" w:themeColor="accent2" w:themeShade="BF"/>
          <w:sz w:val="28"/>
          <w:szCs w:val="28"/>
          <w:lang w:val="es-MX"/>
        </w:rPr>
        <w:t>se define cada uno de los momentos contables</w:t>
      </w:r>
      <w:r w:rsidRPr="00B9721E">
        <w:rPr>
          <w:rFonts w:ascii="Times New Roman" w:hAnsi="Times New Roman"/>
          <w:sz w:val="28"/>
          <w:szCs w:val="28"/>
          <w:lang w:val="es-MX"/>
        </w:rPr>
        <w:t xml:space="preserve"> de los egresos establecidos por la Ley de Contabilidad:</w:t>
      </w:r>
    </w:p>
    <w:p w:rsidR="00B9721E" w:rsidRPr="00B9721E" w:rsidRDefault="00B9721E"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aprobado:</w:t>
      </w:r>
      <w:r w:rsidRPr="00B9721E">
        <w:rPr>
          <w:rFonts w:ascii="Times New Roman" w:hAnsi="Times New Roman"/>
          <w:sz w:val="28"/>
          <w:szCs w:val="28"/>
          <w:lang w:val="es-MX"/>
        </w:rPr>
        <w:t xml:space="preserve"> momento contable que refleja las asignaciones presupuestarias anuales según lo establecido en el presupuesto anual de egresos autorizado</w:t>
      </w:r>
    </w:p>
    <w:p w:rsidR="00B9721E" w:rsidRDefault="00B9721E" w:rsidP="00B9721E">
      <w:pPr>
        <w:jc w:val="both"/>
        <w:rPr>
          <w:rFonts w:ascii="Times New Roman" w:hAnsi="Times New Roman"/>
          <w:sz w:val="28"/>
          <w:szCs w:val="28"/>
          <w:lang w:val="es-MX"/>
        </w:rPr>
      </w:pPr>
    </w:p>
    <w:p w:rsidR="007063E4" w:rsidRPr="00B9721E"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modificado:</w:t>
      </w:r>
      <w:r w:rsidRPr="00B9721E">
        <w:rPr>
          <w:rFonts w:ascii="Times New Roman" w:hAnsi="Times New Roman"/>
          <w:sz w:val="28"/>
          <w:szCs w:val="28"/>
          <w:lang w:val="es-MX"/>
        </w:rPr>
        <w:t xml:space="preserve"> momento contable que refleja las asignaciones presupuestarias que resultan de incorporar las adecuaciones presupuestarias al gasto aprobado.</w:t>
      </w:r>
    </w:p>
    <w:p w:rsidR="00B9721E" w:rsidRDefault="00B9721E" w:rsidP="00B9721E">
      <w:pPr>
        <w:jc w:val="both"/>
        <w:rPr>
          <w:rFonts w:ascii="Times New Roman" w:hAnsi="Times New Roman"/>
          <w:sz w:val="28"/>
          <w:szCs w:val="28"/>
          <w:lang w:val="es-MX"/>
        </w:rPr>
      </w:pPr>
    </w:p>
    <w:p w:rsidR="007063E4" w:rsidRPr="00B9721E"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comprometido:</w:t>
      </w:r>
      <w:r w:rsidRPr="00B9721E">
        <w:rPr>
          <w:rFonts w:ascii="Times New Roman" w:hAnsi="Times New Roman"/>
          <w:sz w:val="28"/>
          <w:szCs w:val="28"/>
          <w:lang w:val="es-MX"/>
        </w:rPr>
        <w:t xml:space="preserve"> momento contable del gasto que refleja la aprobación por autoridad competente de un acto administrativo, u otro instrumento jurídico que formaliza una relación jurídica con terceros para la adquisición de bienes y servicios o ejecución de obras. En el caso de las obras a ejecutarse o de bienes a recibirse durante varios ejercicios, el compromiso será registrado por la parte que se ejecutará o recibirá, durante cada ejercicio;</w:t>
      </w: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En el caso de “gastos en personal” de planta permanente o fija y otros de similar naturaleza o directamente vinculados a los mismos, al inicio del ejercicio presupuestario, por el costo total anual de la planta ocupada en dicho momento, en las partidas correspondientes.</w:t>
      </w:r>
    </w:p>
    <w:p w:rsidR="00B9721E" w:rsidRDefault="00B9721E" w:rsidP="00B9721E">
      <w:pPr>
        <w:jc w:val="both"/>
        <w:rPr>
          <w:rFonts w:ascii="Times New Roman" w:hAnsi="Times New Roman"/>
          <w:sz w:val="28"/>
          <w:szCs w:val="28"/>
          <w:lang w:val="es-MX"/>
        </w:rPr>
      </w:pPr>
    </w:p>
    <w:p w:rsidR="007063E4" w:rsidRPr="00B9721E"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devengado:</w:t>
      </w:r>
      <w:r w:rsidRPr="00B9721E">
        <w:rPr>
          <w:rFonts w:ascii="Times New Roman" w:hAnsi="Times New Roman"/>
          <w:sz w:val="28"/>
          <w:szCs w:val="28"/>
          <w:lang w:val="es-MX"/>
        </w:rPr>
        <w:t xml:space="preserve"> el momento contable que refleja el reconocimiento de una obligación de pago a favor de terceros por la recepción de conformidad de bienes, servicios y otros oportunamente contratados.</w:t>
      </w:r>
    </w:p>
    <w:p w:rsidR="00B9721E" w:rsidRDefault="00B9721E" w:rsidP="00B9721E">
      <w:pPr>
        <w:jc w:val="both"/>
        <w:rPr>
          <w:rFonts w:ascii="Times New Roman" w:hAnsi="Times New Roman"/>
          <w:sz w:val="28"/>
          <w:szCs w:val="28"/>
          <w:lang w:val="es-MX"/>
        </w:rPr>
      </w:pPr>
    </w:p>
    <w:p w:rsidR="007063E4" w:rsidRPr="00B9721E"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ejercido:</w:t>
      </w:r>
      <w:r w:rsidRPr="00B9721E">
        <w:rPr>
          <w:rFonts w:ascii="Times New Roman" w:hAnsi="Times New Roman"/>
          <w:b/>
          <w:sz w:val="28"/>
          <w:szCs w:val="28"/>
          <w:lang w:val="es-MX"/>
        </w:rPr>
        <w:t xml:space="preserve"> </w:t>
      </w:r>
      <w:r w:rsidRPr="00B9721E">
        <w:rPr>
          <w:rFonts w:ascii="Times New Roman" w:hAnsi="Times New Roman"/>
          <w:sz w:val="28"/>
          <w:szCs w:val="28"/>
          <w:lang w:val="es-MX"/>
        </w:rPr>
        <w:t>el momento contable que refleja la autorización administrativa para el pago de bienes, servicios o ejecución de obras, previamente devengados.</w:t>
      </w:r>
    </w:p>
    <w:p w:rsidR="00B9721E" w:rsidRDefault="00B9721E" w:rsidP="00B9721E">
      <w:pPr>
        <w:jc w:val="both"/>
        <w:rPr>
          <w:rFonts w:ascii="Times New Roman" w:hAnsi="Times New Roman"/>
          <w:sz w:val="28"/>
          <w:szCs w:val="28"/>
          <w:lang w:val="es-MX"/>
        </w:rPr>
      </w:pPr>
    </w:p>
    <w:p w:rsidR="007063E4" w:rsidRPr="00B9721E" w:rsidRDefault="007063E4" w:rsidP="00B9721E">
      <w:pPr>
        <w:jc w:val="both"/>
        <w:rPr>
          <w:rFonts w:ascii="Times New Roman" w:hAnsi="Times New Roman"/>
          <w:sz w:val="28"/>
          <w:szCs w:val="28"/>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w:t>
      </w:r>
      <w:r w:rsidRPr="00D54E4D">
        <w:rPr>
          <w:rFonts w:ascii="Times New Roman" w:hAnsi="Times New Roman"/>
          <w:b/>
          <w:i/>
          <w:color w:val="C00000"/>
          <w:sz w:val="28"/>
          <w:szCs w:val="28"/>
          <w:lang w:val="es-MX"/>
        </w:rPr>
        <w:t>Gasto pagado:</w:t>
      </w:r>
      <w:r w:rsidRPr="00B9721E">
        <w:rPr>
          <w:rFonts w:ascii="Times New Roman" w:hAnsi="Times New Roman"/>
          <w:sz w:val="28"/>
          <w:szCs w:val="28"/>
          <w:lang w:val="es-MX"/>
        </w:rPr>
        <w:t xml:space="preserve"> el momento contable que refleja la cancelación total o parcial de las obligaciones de pago, que se concreta mediante el desembolso de efectivo o cualquier otro medio de pago.</w:t>
      </w:r>
    </w:p>
    <w:p w:rsidR="00B9721E" w:rsidRDefault="00B9721E" w:rsidP="00B9721E">
      <w:pPr>
        <w:jc w:val="both"/>
        <w:rPr>
          <w:rFonts w:ascii="Times New Roman" w:hAnsi="Times New Roman"/>
          <w:sz w:val="28"/>
          <w:szCs w:val="28"/>
          <w:lang w:val="es-MX"/>
        </w:rPr>
      </w:pPr>
    </w:p>
    <w:p w:rsidR="00D54E4D" w:rsidRDefault="00D54E4D" w:rsidP="00B9721E">
      <w:pPr>
        <w:jc w:val="both"/>
        <w:rPr>
          <w:rFonts w:ascii="Times New Roman" w:hAnsi="Times New Roman"/>
          <w:sz w:val="28"/>
          <w:szCs w:val="28"/>
          <w:lang w:val="es-MX"/>
        </w:rPr>
      </w:pPr>
    </w:p>
    <w:p w:rsidR="00D54E4D" w:rsidRPr="00B9721E" w:rsidRDefault="00D54E4D" w:rsidP="00B9721E">
      <w:pPr>
        <w:jc w:val="both"/>
        <w:rPr>
          <w:rFonts w:ascii="Times New Roman" w:hAnsi="Times New Roman"/>
          <w:sz w:val="28"/>
          <w:szCs w:val="28"/>
          <w:lang w:val="es-MX"/>
        </w:rPr>
      </w:pPr>
    </w:p>
    <w:p w:rsidR="00B9721E" w:rsidRDefault="00B9721E" w:rsidP="00B9721E">
      <w:pPr>
        <w:jc w:val="both"/>
        <w:rPr>
          <w:rFonts w:ascii="Times New Roman" w:hAnsi="Times New Roman"/>
          <w:sz w:val="22"/>
          <w:szCs w:val="22"/>
          <w:lang w:val="es-MX" w:eastAsia="es-MX"/>
        </w:rPr>
      </w:pPr>
      <w:r w:rsidRPr="00B9721E">
        <w:rPr>
          <w:rFonts w:ascii="Times New Roman" w:hAnsi="Times New Roman"/>
          <w:sz w:val="22"/>
          <w:szCs w:val="22"/>
          <w:lang w:val="es-MX" w:eastAsia="es-MX"/>
        </w:rPr>
        <w:object w:dxaOrig="7191" w:dyaOrig="5402">
          <v:shape id="_x0000_i1040" type="#_x0000_t75" style="width:468pt;height:453pt" o:ole="">
            <v:imagedata r:id="rId38" o:title=""/>
          </v:shape>
          <o:OLEObject Type="Embed" ProgID="PowerPoint.Slide.12" ShapeID="_x0000_i1040" DrawAspect="Content" ObjectID="_1406475749" r:id="rId39"/>
        </w:object>
      </w:r>
    </w:p>
    <w:p w:rsidR="00D54E4D" w:rsidRDefault="00D54E4D" w:rsidP="00B9721E">
      <w:pPr>
        <w:jc w:val="both"/>
        <w:rPr>
          <w:rFonts w:ascii="Times New Roman" w:hAnsi="Times New Roman"/>
          <w:lang w:val="es-MX"/>
        </w:rPr>
      </w:pPr>
    </w:p>
    <w:p w:rsidR="00D54E4D" w:rsidRDefault="00D54E4D" w:rsidP="00B9721E">
      <w:pPr>
        <w:jc w:val="both"/>
        <w:rPr>
          <w:rFonts w:ascii="Times New Roman" w:hAnsi="Times New Roman"/>
          <w:lang w:val="es-MX"/>
        </w:rPr>
      </w:pPr>
    </w:p>
    <w:p w:rsidR="00B9721E" w:rsidRPr="00B9721E" w:rsidRDefault="00B9721E" w:rsidP="00B9721E">
      <w:pPr>
        <w:jc w:val="both"/>
        <w:rPr>
          <w:rFonts w:ascii="Times New Roman" w:hAnsi="Times New Roman"/>
          <w:sz w:val="28"/>
          <w:szCs w:val="28"/>
          <w:lang w:val="es-MX"/>
        </w:rPr>
      </w:pPr>
      <w:r w:rsidRPr="00B9721E">
        <w:rPr>
          <w:rFonts w:ascii="Times New Roman" w:hAnsi="Times New Roman"/>
          <w:sz w:val="28"/>
          <w:szCs w:val="28"/>
          <w:lang w:val="es-MX"/>
        </w:rPr>
        <w:t xml:space="preserve">      De conformidad con lo establecido por el CONAC, </w:t>
      </w:r>
      <w:r w:rsidRPr="00B9721E">
        <w:rPr>
          <w:rFonts w:ascii="Times New Roman" w:hAnsi="Times New Roman"/>
          <w:b/>
          <w:i/>
          <w:color w:val="C00000"/>
          <w:sz w:val="28"/>
          <w:szCs w:val="28"/>
          <w:lang w:val="es-MX"/>
        </w:rPr>
        <w:t>excepcionalmente</w:t>
      </w:r>
      <w:r w:rsidRPr="00B9721E">
        <w:rPr>
          <w:rFonts w:ascii="Times New Roman" w:hAnsi="Times New Roman"/>
          <w:i/>
          <w:color w:val="C00000"/>
          <w:sz w:val="28"/>
          <w:szCs w:val="28"/>
          <w:lang w:val="es-MX"/>
        </w:rPr>
        <w:t>,</w:t>
      </w:r>
      <w:r w:rsidRPr="00B9721E">
        <w:rPr>
          <w:rFonts w:ascii="Times New Roman" w:hAnsi="Times New Roman"/>
          <w:sz w:val="28"/>
          <w:szCs w:val="28"/>
          <w:lang w:val="es-MX"/>
        </w:rPr>
        <w:t xml:space="preserve"> cuando por la naturaleza de las operaciones no sea posible el registro consecutivo de todos los momentos contables del gasto, </w:t>
      </w:r>
      <w:r w:rsidRPr="00B9721E">
        <w:rPr>
          <w:rFonts w:ascii="Times New Roman" w:hAnsi="Times New Roman"/>
          <w:b/>
          <w:i/>
          <w:color w:val="C00000"/>
          <w:sz w:val="28"/>
          <w:szCs w:val="28"/>
          <w:lang w:val="es-MX"/>
        </w:rPr>
        <w:t>se registrarán simultáneamente</w:t>
      </w:r>
      <w:r w:rsidRPr="00B9721E">
        <w:rPr>
          <w:rFonts w:ascii="Times New Roman" w:hAnsi="Times New Roman"/>
          <w:sz w:val="28"/>
          <w:szCs w:val="28"/>
          <w:lang w:val="es-MX"/>
        </w:rPr>
        <w:t xml:space="preserve"> de acuerdo a lineamientos previamente definidos por las unidades administrativas o instancias competentes en materia de Contabilidad Gubernamental.</w:t>
      </w:r>
    </w:p>
    <w:p w:rsidR="00B9721E" w:rsidRDefault="00B9721E" w:rsidP="00B9721E">
      <w:pPr>
        <w:jc w:val="both"/>
        <w:rPr>
          <w:rFonts w:ascii="Times New Roman" w:hAnsi="Times New Roman"/>
          <w:lang w:val="es-MX"/>
        </w:rPr>
      </w:pPr>
    </w:p>
    <w:p w:rsidR="00B9721E" w:rsidRDefault="00B9721E" w:rsidP="00B9721E">
      <w:pPr>
        <w:jc w:val="both"/>
        <w:rPr>
          <w:rFonts w:ascii="Times New Roman" w:hAnsi="Times New Roman"/>
          <w:lang w:val="es-MX"/>
        </w:rPr>
      </w:pPr>
    </w:p>
    <w:p w:rsidR="00BD049F" w:rsidRDefault="00BD049F" w:rsidP="00B9721E">
      <w:pPr>
        <w:jc w:val="both"/>
        <w:rPr>
          <w:rFonts w:ascii="Times New Roman" w:hAnsi="Times New Roman"/>
          <w:lang w:val="es-MX"/>
        </w:rPr>
      </w:pPr>
    </w:p>
    <w:p w:rsidR="00933C42" w:rsidRDefault="00933C42" w:rsidP="00B9721E">
      <w:pPr>
        <w:jc w:val="both"/>
        <w:rPr>
          <w:rFonts w:ascii="Times New Roman" w:hAnsi="Times New Roman"/>
          <w:sz w:val="22"/>
          <w:szCs w:val="22"/>
          <w:lang w:val="es-MX" w:eastAsia="es-MX"/>
        </w:rPr>
      </w:pPr>
    </w:p>
    <w:p w:rsidR="00B9721E" w:rsidRDefault="00933C42" w:rsidP="00B9721E">
      <w:pPr>
        <w:jc w:val="both"/>
        <w:rPr>
          <w:rFonts w:ascii="Times New Roman" w:hAnsi="Times New Roman"/>
          <w:sz w:val="22"/>
          <w:szCs w:val="22"/>
          <w:lang w:val="es-MX" w:eastAsia="es-MX"/>
        </w:rPr>
      </w:pPr>
      <w:r w:rsidRPr="00933C42">
        <w:rPr>
          <w:rFonts w:ascii="Times New Roman" w:hAnsi="Times New Roman"/>
          <w:sz w:val="22"/>
          <w:szCs w:val="22"/>
          <w:lang w:val="es-MX" w:eastAsia="es-MX"/>
        </w:rPr>
        <w:object w:dxaOrig="6224" w:dyaOrig="4675">
          <v:shape id="_x0000_i1041" type="#_x0000_t75" style="width:470.25pt;height:291.75pt" o:ole="" o:bordertopcolor="this" o:borderleftcolor="this" o:borderbottomcolor="this" o:borderrightcolor="this">
            <v:imagedata r:id="rId40" o:title=""/>
            <w10:bordertop type="triple" width="4"/>
            <w10:borderleft type="triple" width="4"/>
            <w10:borderbottom type="triple" width="4"/>
            <w10:borderright type="triple" width="4"/>
          </v:shape>
          <o:OLEObject Type="Embed" ProgID="PowerPoint.Slide.12" ShapeID="_x0000_i1041" DrawAspect="Content" ObjectID="_1406475750" r:id="rId41"/>
        </w:object>
      </w:r>
    </w:p>
    <w:p w:rsidR="00933C42" w:rsidRDefault="00933C42" w:rsidP="00B9721E">
      <w:pPr>
        <w:jc w:val="both"/>
        <w:rPr>
          <w:rFonts w:ascii="Times New Roman" w:hAnsi="Times New Roman"/>
          <w:sz w:val="22"/>
          <w:szCs w:val="22"/>
          <w:lang w:val="es-MX" w:eastAsia="es-MX"/>
        </w:rPr>
      </w:pPr>
    </w:p>
    <w:p w:rsidR="00B9721E" w:rsidRDefault="00BD049F" w:rsidP="00B9721E">
      <w:pPr>
        <w:jc w:val="both"/>
        <w:rPr>
          <w:rFonts w:ascii="Times New Roman" w:hAnsi="Times New Roman"/>
          <w:lang w:val="es-MX"/>
        </w:rPr>
      </w:pPr>
      <w:r w:rsidRPr="00D54E4D">
        <w:rPr>
          <w:rFonts w:ascii="Times New Roman" w:hAnsi="Times New Roman"/>
          <w:sz w:val="22"/>
          <w:szCs w:val="22"/>
          <w:lang w:val="es-MX" w:eastAsia="es-MX"/>
        </w:rPr>
        <w:object w:dxaOrig="7162" w:dyaOrig="5379">
          <v:shape id="_x0000_i1042" type="#_x0000_t75" style="width:463.5pt;height:269.25pt" o:ole="">
            <v:imagedata r:id="rId42" o:title=""/>
          </v:shape>
          <o:OLEObject Type="Embed" ProgID="PowerPoint.Slide.12" ShapeID="_x0000_i1042" DrawAspect="Content" ObjectID="_1406475751" r:id="rId43"/>
        </w:object>
      </w:r>
    </w:p>
    <w:p w:rsidR="00BD049F" w:rsidRDefault="00B9721E" w:rsidP="00B9721E">
      <w:pPr>
        <w:jc w:val="both"/>
        <w:rPr>
          <w:rFonts w:ascii="Times New Roman" w:hAnsi="Times New Roman"/>
          <w:lang w:val="es-MX"/>
        </w:rPr>
      </w:pPr>
      <w:r>
        <w:rPr>
          <w:rFonts w:ascii="Times New Roman" w:hAnsi="Times New Roman"/>
          <w:lang w:val="es-MX"/>
        </w:rPr>
        <w:t xml:space="preserve"> </w:t>
      </w:r>
    </w:p>
    <w:p w:rsidR="00BD049F" w:rsidRDefault="00BD049F" w:rsidP="00B9721E">
      <w:pPr>
        <w:jc w:val="both"/>
        <w:rPr>
          <w:rFonts w:ascii="Times New Roman" w:hAnsi="Times New Roman"/>
          <w:lang w:val="es-MX"/>
        </w:rPr>
      </w:pPr>
    </w:p>
    <w:p w:rsidR="00B9721E" w:rsidRPr="00645BD6"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b/>
          <w:color w:val="943634" w:themeColor="accent2" w:themeShade="BF"/>
          <w:sz w:val="32"/>
          <w:szCs w:val="32"/>
          <w:lang w:val="es-MX"/>
        </w:rPr>
      </w:pPr>
      <w:r w:rsidRPr="00AA1C96">
        <w:rPr>
          <w:rFonts w:ascii="Times New Roman" w:hAnsi="Times New Roman"/>
          <w:color w:val="943634" w:themeColor="accent2" w:themeShade="BF"/>
          <w:sz w:val="28"/>
          <w:szCs w:val="28"/>
          <w:lang w:val="es-MX"/>
        </w:rPr>
        <w:t xml:space="preserve"> </w:t>
      </w:r>
      <w:r w:rsidRPr="00645BD6">
        <w:rPr>
          <w:rFonts w:ascii="Arial" w:hAnsi="Arial" w:cs="Arial"/>
          <w:b/>
          <w:color w:val="943634" w:themeColor="accent2" w:themeShade="BF"/>
          <w:sz w:val="32"/>
          <w:szCs w:val="32"/>
          <w:lang w:val="es-MX"/>
        </w:rPr>
        <w:t>Principales ventajas del registro de los momentos contables del “comprometido y devengado”</w:t>
      </w:r>
    </w:p>
    <w:p w:rsidR="00AA1C96" w:rsidRPr="00645BD6"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Theme="majorHAnsi" w:hAnsiTheme="majorHAnsi"/>
          <w:b/>
          <w:color w:val="943634" w:themeColor="accent2" w:themeShade="BF"/>
          <w:sz w:val="32"/>
          <w:szCs w:val="32"/>
          <w:lang w:val="es-MX"/>
        </w:rPr>
      </w:pPr>
    </w:p>
    <w:p w:rsidR="00B9721E" w:rsidRPr="00645BD6"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b/>
          <w:sz w:val="28"/>
          <w:szCs w:val="28"/>
          <w:lang w:val="es-MX"/>
        </w:rPr>
      </w:pPr>
      <w:r w:rsidRPr="00645BD6">
        <w:rPr>
          <w:rFonts w:ascii="Arial" w:hAnsi="Arial" w:cs="Arial"/>
          <w:sz w:val="28"/>
          <w:szCs w:val="28"/>
          <w:lang w:val="es-MX"/>
        </w:rPr>
        <w:t xml:space="preserve">        </w:t>
      </w:r>
      <w:r w:rsidRPr="00645BD6">
        <w:rPr>
          <w:rFonts w:ascii="Arial" w:hAnsi="Arial" w:cs="Arial"/>
          <w:b/>
          <w:sz w:val="28"/>
          <w:szCs w:val="28"/>
          <w:lang w:val="es-MX"/>
        </w:rPr>
        <w:t>a)  Ventajas del “comprometido”</w:t>
      </w:r>
    </w:p>
    <w:p w:rsidR="00AA1C96" w:rsidRPr="00645BD6"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b/>
          <w:sz w:val="28"/>
          <w:szCs w:val="28"/>
          <w:lang w:val="es-MX"/>
        </w:rPr>
      </w:pPr>
    </w:p>
    <w:p w:rsidR="00AA1C96" w:rsidRPr="001D6D9C"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r w:rsidRPr="001D6D9C">
        <w:rPr>
          <w:rFonts w:ascii="Arial" w:hAnsi="Arial" w:cs="Arial"/>
          <w:sz w:val="28"/>
          <w:szCs w:val="28"/>
          <w:lang w:val="es-MX"/>
        </w:rPr>
        <w:t xml:space="preserve">        El correcto registro contable del momento comprometido de los gastos tiene una particular relevancia para aplicar políticas relacionadas con el control del gasto y la disciplina fiscal. Si en algún momento de la ejecución de un ejercicio, la autoridad responsable del recurso </w:t>
      </w:r>
      <w:r w:rsidR="00AA1C96" w:rsidRPr="001D6D9C">
        <w:rPr>
          <w:rFonts w:ascii="Arial" w:hAnsi="Arial" w:cs="Arial"/>
          <w:sz w:val="28"/>
          <w:szCs w:val="28"/>
          <w:lang w:val="es-MX"/>
        </w:rPr>
        <w:t>del ente</w:t>
      </w:r>
      <w:r w:rsidRPr="001D6D9C">
        <w:rPr>
          <w:rFonts w:ascii="Arial" w:hAnsi="Arial" w:cs="Arial"/>
          <w:sz w:val="28"/>
          <w:szCs w:val="28"/>
          <w:lang w:val="es-MX"/>
        </w:rPr>
        <w:t xml:space="preserve"> tiene la necesidad de contener, disminuir o paralizar el ritmo de ejecución del gasto, la medida correcta a tomar en estos casos, es regular o impedir la constitución de nuevos “compromisos” contables.</w:t>
      </w:r>
    </w:p>
    <w:p w:rsidR="00AA1C96" w:rsidRPr="001D6D9C"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r w:rsidRPr="001D6D9C">
        <w:rPr>
          <w:rFonts w:ascii="Arial" w:hAnsi="Arial" w:cs="Arial"/>
          <w:sz w:val="28"/>
          <w:szCs w:val="28"/>
          <w:lang w:val="es-MX"/>
        </w:rPr>
        <w:t xml:space="preserve">       </w:t>
      </w:r>
      <w:r w:rsidR="00B9721E" w:rsidRPr="001D6D9C">
        <w:rPr>
          <w:rFonts w:ascii="Arial" w:hAnsi="Arial" w:cs="Arial"/>
          <w:sz w:val="28"/>
          <w:szCs w:val="28"/>
          <w:lang w:val="es-MX"/>
        </w:rPr>
        <w:t xml:space="preserve"> La prohibición de contraer compromisos implica que los ejecutores del gasto no pueden firmar nuevas órdenes de compra de bienes, contratación de servicios, contratos de obra u otros instrumentos contractuales similares que tarde o temprano originarán obligaciones de pago. </w:t>
      </w:r>
    </w:p>
    <w:p w:rsidR="00B9721E" w:rsidRPr="001D6D9C"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r w:rsidRPr="001D6D9C">
        <w:rPr>
          <w:rFonts w:ascii="Arial" w:hAnsi="Arial" w:cs="Arial"/>
          <w:sz w:val="28"/>
          <w:szCs w:val="28"/>
          <w:lang w:val="es-MX"/>
        </w:rPr>
        <w:t xml:space="preserve">       </w:t>
      </w:r>
      <w:r w:rsidR="00B9721E" w:rsidRPr="001D6D9C">
        <w:rPr>
          <w:rFonts w:ascii="Arial" w:hAnsi="Arial" w:cs="Arial"/>
          <w:sz w:val="28"/>
          <w:szCs w:val="28"/>
          <w:lang w:val="es-MX"/>
        </w:rPr>
        <w:t>La firma de un contrato obliga a su ejecución. La obligación del registro contable del compromiso permite asegurar que las disposiciones tomadas sobre el control del gasto son respetadas y facilitará obtener los resultados fiscales previstos.</w:t>
      </w:r>
    </w:p>
    <w:p w:rsidR="00AA1C96" w:rsidRPr="00645BD6"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p>
    <w:p w:rsidR="00B9721E" w:rsidRPr="00645BD6"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b/>
          <w:sz w:val="28"/>
          <w:szCs w:val="28"/>
          <w:lang w:val="es-MX"/>
        </w:rPr>
      </w:pPr>
      <w:r w:rsidRPr="00645BD6">
        <w:rPr>
          <w:rFonts w:ascii="Arial" w:hAnsi="Arial" w:cs="Arial"/>
          <w:sz w:val="28"/>
          <w:szCs w:val="28"/>
          <w:lang w:val="es-MX"/>
        </w:rPr>
        <w:t xml:space="preserve">      </w:t>
      </w:r>
      <w:r w:rsidRPr="00645BD6">
        <w:rPr>
          <w:rFonts w:ascii="Arial" w:hAnsi="Arial" w:cs="Arial"/>
          <w:b/>
          <w:sz w:val="28"/>
          <w:szCs w:val="28"/>
          <w:lang w:val="es-MX"/>
        </w:rPr>
        <w:t>b)  Ventajas del “devengado”</w:t>
      </w:r>
    </w:p>
    <w:p w:rsidR="00AA1C96" w:rsidRPr="00645BD6" w:rsidRDefault="00AA1C96"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b/>
          <w:sz w:val="28"/>
          <w:szCs w:val="28"/>
          <w:lang w:val="es-MX"/>
        </w:rPr>
      </w:pPr>
    </w:p>
    <w:p w:rsidR="00B9721E" w:rsidRPr="00645BD6"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r w:rsidRPr="00645BD6">
        <w:rPr>
          <w:rFonts w:ascii="Arial" w:hAnsi="Arial" w:cs="Arial"/>
          <w:sz w:val="28"/>
          <w:szCs w:val="28"/>
          <w:lang w:val="es-MX"/>
        </w:rPr>
        <w:t xml:space="preserve">      La Ley de Contabilidad establece en su </w:t>
      </w:r>
      <w:r w:rsidRPr="00645BD6">
        <w:rPr>
          <w:rFonts w:ascii="Arial" w:hAnsi="Arial" w:cs="Arial"/>
          <w:b/>
          <w:sz w:val="28"/>
          <w:szCs w:val="28"/>
          <w:lang w:val="es-MX"/>
        </w:rPr>
        <w:t>Artículo 19</w:t>
      </w:r>
      <w:r w:rsidRPr="00645BD6">
        <w:rPr>
          <w:rFonts w:ascii="Arial" w:hAnsi="Arial" w:cs="Arial"/>
          <w:sz w:val="28"/>
          <w:szCs w:val="28"/>
          <w:lang w:val="es-MX"/>
        </w:rPr>
        <w:t xml:space="preserve"> que </w:t>
      </w:r>
      <w:r w:rsidRPr="00645BD6">
        <w:rPr>
          <w:rFonts w:ascii="Arial" w:hAnsi="Arial" w:cs="Arial"/>
          <w:b/>
          <w:i/>
          <w:color w:val="943634" w:themeColor="accent2" w:themeShade="BF"/>
          <w:sz w:val="28"/>
          <w:szCs w:val="28"/>
          <w:lang w:val="es-MX"/>
        </w:rPr>
        <w:t>el SCG debe integrar “en forma automática el ejercicio presupuestario con la operación contable, a partir de la utilización del gasto devengado”</w:t>
      </w:r>
      <w:r w:rsidRPr="00645BD6">
        <w:rPr>
          <w:rFonts w:ascii="Arial" w:hAnsi="Arial" w:cs="Arial"/>
          <w:sz w:val="28"/>
          <w:szCs w:val="28"/>
          <w:lang w:val="es-MX"/>
        </w:rPr>
        <w:t>. Ello también es válido para el caso de los ingresos devengados.</w:t>
      </w:r>
    </w:p>
    <w:p w:rsidR="00B9721E" w:rsidRDefault="00B9721E"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r w:rsidRPr="00645BD6">
        <w:rPr>
          <w:rFonts w:ascii="Arial" w:hAnsi="Arial" w:cs="Arial"/>
          <w:sz w:val="28"/>
          <w:szCs w:val="28"/>
          <w:lang w:val="es-MX"/>
        </w:rPr>
        <w:t xml:space="preserve">      Los procesos administrativo-financieros que originan  “ingresos” o “egresos” reconocen en el momento contable del “devengado” la etapa más relevante para el registro de las respectivas transacciones. El correcto registro de este momento contable es condición necesaria para la integración de los registros presupuestarios y contables, así como para producir estados de ejecución presupuestaria, contables y económicos, oportunos, coherentes y consistentes.</w:t>
      </w:r>
    </w:p>
    <w:p w:rsidR="00B704D0" w:rsidRPr="00645BD6" w:rsidRDefault="00B704D0" w:rsidP="00AA1C96">
      <w:pPr>
        <w:pBdr>
          <w:top w:val="thinThickSmallGap" w:sz="24" w:space="1" w:color="auto"/>
          <w:left w:val="thinThickSmallGap" w:sz="24" w:space="4" w:color="auto"/>
          <w:bottom w:val="thinThickSmallGap" w:sz="24" w:space="1" w:color="auto"/>
          <w:right w:val="thinThickSmallGap" w:sz="24" w:space="4" w:color="auto"/>
        </w:pBdr>
        <w:jc w:val="both"/>
        <w:rPr>
          <w:rFonts w:ascii="Arial" w:hAnsi="Arial" w:cs="Arial"/>
          <w:sz w:val="28"/>
          <w:szCs w:val="28"/>
          <w:lang w:val="es-MX"/>
        </w:rPr>
      </w:pPr>
    </w:p>
    <w:p w:rsidR="00AA1C96" w:rsidRPr="00645BD6" w:rsidRDefault="00AA1C96" w:rsidP="00B9721E">
      <w:pPr>
        <w:jc w:val="both"/>
        <w:rPr>
          <w:rFonts w:ascii="Arial" w:hAnsi="Arial" w:cs="Arial"/>
          <w:b/>
          <w:lang w:val="es-MX"/>
        </w:rPr>
      </w:pPr>
    </w:p>
    <w:p w:rsidR="00B704D0" w:rsidRDefault="00B704D0"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b/>
          <w:color w:val="943634" w:themeColor="accent2" w:themeShade="BF"/>
          <w:sz w:val="32"/>
          <w:szCs w:val="32"/>
          <w:lang w:val="es-MX"/>
        </w:rPr>
      </w:pPr>
    </w:p>
    <w:p w:rsidR="00B9721E" w:rsidRPr="001D6D9C" w:rsidRDefault="00AA1C96"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b/>
          <w:color w:val="943634" w:themeColor="accent2" w:themeShade="BF"/>
          <w:sz w:val="32"/>
          <w:szCs w:val="32"/>
          <w:lang w:val="es-MX"/>
        </w:rPr>
      </w:pPr>
      <w:r w:rsidRPr="001D6D9C">
        <w:rPr>
          <w:rFonts w:ascii="Arial" w:hAnsi="Arial" w:cs="Arial"/>
          <w:b/>
          <w:color w:val="943634" w:themeColor="accent2" w:themeShade="BF"/>
          <w:sz w:val="32"/>
          <w:szCs w:val="32"/>
          <w:lang w:val="es-MX"/>
        </w:rPr>
        <w:lastRenderedPageBreak/>
        <w:t xml:space="preserve">      </w:t>
      </w:r>
      <w:r w:rsidR="00B9721E" w:rsidRPr="001D6D9C">
        <w:rPr>
          <w:rFonts w:ascii="Arial" w:hAnsi="Arial" w:cs="Arial"/>
          <w:b/>
          <w:color w:val="943634" w:themeColor="accent2" w:themeShade="BF"/>
          <w:sz w:val="32"/>
          <w:szCs w:val="32"/>
          <w:lang w:val="es-MX"/>
        </w:rPr>
        <w:t>Principales ventajas del uso del “comprometido y del devengado” para la programación diaria de caja.</w:t>
      </w:r>
    </w:p>
    <w:p w:rsidR="00645BD6" w:rsidRPr="00645BD6" w:rsidRDefault="00645BD6"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color w:val="943634" w:themeColor="accent2" w:themeShade="BF"/>
          <w:sz w:val="32"/>
          <w:szCs w:val="32"/>
          <w:lang w:val="es-MX"/>
        </w:rPr>
      </w:pPr>
    </w:p>
    <w:p w:rsidR="00B9721E" w:rsidRDefault="00B9721E"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28"/>
          <w:szCs w:val="28"/>
          <w:lang w:val="es-MX"/>
        </w:rPr>
      </w:pPr>
      <w:r w:rsidRPr="001D6D9C">
        <w:rPr>
          <w:rFonts w:ascii="Arial" w:hAnsi="Arial" w:cs="Arial"/>
          <w:sz w:val="28"/>
          <w:szCs w:val="28"/>
          <w:lang w:val="es-MX"/>
        </w:rPr>
        <w:t xml:space="preserve">      La elaboración periódica y diaria de un programa de caja (ingresos y pagos) realista y confiable, condición requerida para la implantación de un sistema de cuenta única, exige conocer los montos autorizados para gastar mediante las calendarizaciones de éstas y los compromisos y devengo que realizan los ejecutores del gasto en el mismo momento en que ocurren.</w:t>
      </w:r>
    </w:p>
    <w:p w:rsidR="001D6D9C" w:rsidRPr="001D6D9C" w:rsidRDefault="001D6D9C"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28"/>
          <w:szCs w:val="28"/>
          <w:lang w:val="es-MX"/>
        </w:rPr>
      </w:pPr>
    </w:p>
    <w:p w:rsidR="00B9721E" w:rsidRDefault="00B9721E" w:rsidP="001D6D9C">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28"/>
          <w:szCs w:val="28"/>
          <w:lang w:val="es-MX"/>
        </w:rPr>
      </w:pPr>
      <w:r w:rsidRPr="001D6D9C">
        <w:rPr>
          <w:rFonts w:ascii="Arial" w:hAnsi="Arial" w:cs="Arial"/>
          <w:sz w:val="28"/>
          <w:szCs w:val="28"/>
          <w:lang w:val="es-MX"/>
        </w:rPr>
        <w:t xml:space="preserve">     La disponibilidad de esta información </w:t>
      </w:r>
      <w:r w:rsidRPr="001D6D9C">
        <w:rPr>
          <w:rFonts w:ascii="Arial" w:hAnsi="Arial" w:cs="Arial"/>
          <w:b/>
          <w:i/>
          <w:color w:val="943634" w:themeColor="accent2" w:themeShade="BF"/>
          <w:sz w:val="28"/>
          <w:szCs w:val="28"/>
          <w:lang w:val="es-MX"/>
        </w:rPr>
        <w:t xml:space="preserve">permite </w:t>
      </w:r>
      <w:r w:rsidR="001D6D9C" w:rsidRPr="001D6D9C">
        <w:rPr>
          <w:rFonts w:ascii="Arial" w:hAnsi="Arial" w:cs="Arial"/>
          <w:b/>
          <w:i/>
          <w:color w:val="943634" w:themeColor="accent2" w:themeShade="BF"/>
          <w:sz w:val="28"/>
          <w:szCs w:val="28"/>
          <w:lang w:val="es-MX"/>
        </w:rPr>
        <w:t>al ente</w:t>
      </w:r>
      <w:r w:rsidRPr="001D6D9C">
        <w:rPr>
          <w:rFonts w:ascii="Arial" w:hAnsi="Arial" w:cs="Arial"/>
          <w:b/>
          <w:i/>
          <w:color w:val="943634" w:themeColor="accent2" w:themeShade="BF"/>
          <w:sz w:val="28"/>
          <w:szCs w:val="28"/>
          <w:lang w:val="es-MX"/>
        </w:rPr>
        <w:t xml:space="preserve"> mantener una tesorería en equilibrio, mantener los pagos al día, impedir la creación de pasivos exigibles ocultos en los ejecutores del gasto</w:t>
      </w:r>
      <w:r w:rsidRPr="001D6D9C">
        <w:rPr>
          <w:rFonts w:ascii="Arial" w:hAnsi="Arial" w:cs="Arial"/>
          <w:sz w:val="28"/>
          <w:szCs w:val="28"/>
          <w:lang w:val="es-MX"/>
        </w:rPr>
        <w:t xml:space="preserve"> y, en su caso poder establecer con precisión los excedentes de la tesorería para su mejor inversión.</w:t>
      </w:r>
    </w:p>
    <w:p w:rsidR="00E8764A" w:rsidRDefault="00E8764A" w:rsidP="00B4401A">
      <w:pPr>
        <w:jc w:val="both"/>
        <w:rPr>
          <w:rFonts w:ascii="Cambria" w:hAnsi="Cambria"/>
          <w:b/>
          <w:sz w:val="32"/>
          <w:szCs w:val="32"/>
          <w:lang w:val="es-MX" w:eastAsia="es-MX"/>
        </w:rPr>
      </w:pPr>
    </w:p>
    <w:p w:rsidR="00CC1BC5" w:rsidRDefault="00CC1BC5" w:rsidP="00B4401A">
      <w:pPr>
        <w:jc w:val="both"/>
        <w:rPr>
          <w:rFonts w:ascii="Cambria" w:hAnsi="Cambria"/>
          <w:b/>
          <w:sz w:val="32"/>
          <w:szCs w:val="32"/>
          <w:lang w:val="es-MX" w:eastAsia="es-MX"/>
        </w:rPr>
      </w:pPr>
    </w:p>
    <w:p w:rsidR="00CC1BC5" w:rsidRDefault="00CC1BC5"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0324A9" w:rsidRDefault="000324A9" w:rsidP="00B4401A">
      <w:pPr>
        <w:jc w:val="both"/>
        <w:rPr>
          <w:rFonts w:ascii="Cambria" w:hAnsi="Cambria"/>
          <w:b/>
          <w:sz w:val="32"/>
          <w:szCs w:val="32"/>
          <w:lang w:val="es-MX" w:eastAsia="es-MX"/>
        </w:rPr>
      </w:pPr>
    </w:p>
    <w:p w:rsidR="00B4401A" w:rsidRDefault="00B4401A" w:rsidP="00B4401A">
      <w:pPr>
        <w:jc w:val="both"/>
        <w:rPr>
          <w:rFonts w:ascii="Cambria" w:hAnsi="Cambria"/>
          <w:b/>
          <w:sz w:val="32"/>
          <w:szCs w:val="32"/>
          <w:lang w:val="es-MX" w:eastAsia="es-MX"/>
        </w:rPr>
      </w:pPr>
      <w:r>
        <w:rPr>
          <w:rFonts w:ascii="Cambria" w:hAnsi="Cambria"/>
          <w:b/>
          <w:sz w:val="32"/>
          <w:szCs w:val="32"/>
          <w:lang w:val="es-MX" w:eastAsia="es-MX"/>
        </w:rPr>
        <w:lastRenderedPageBreak/>
        <w:t>2.3   CLASIFICADOR POR RUBRO DE INGRESO</w:t>
      </w:r>
    </w:p>
    <w:p w:rsidR="00B4401A" w:rsidRPr="00B4401A" w:rsidRDefault="00EB1933" w:rsidP="00E8764A">
      <w:pPr>
        <w:jc w:val="both"/>
        <w:rPr>
          <w:rFonts w:ascii="Times New Roman" w:hAnsi="Times New Roman"/>
          <w:sz w:val="28"/>
          <w:szCs w:val="28"/>
          <w:lang w:val="es-MX"/>
        </w:rPr>
      </w:pPr>
      <w:r w:rsidRPr="00B4401A">
        <w:rPr>
          <w:rFonts w:ascii="Times New Roman" w:hAnsi="Times New Roman"/>
          <w:sz w:val="28"/>
          <w:szCs w:val="28"/>
          <w:lang w:val="es-MX"/>
        </w:rPr>
        <w:t xml:space="preserve">     </w:t>
      </w:r>
    </w:p>
    <w:p w:rsidR="006E6A83" w:rsidRDefault="00E8764A" w:rsidP="00E8764A">
      <w:pPr>
        <w:shd w:val="clear" w:color="auto" w:fill="FFFFFF"/>
        <w:spacing w:before="100" w:beforeAutospacing="1" w:after="100" w:afterAutospacing="1"/>
        <w:jc w:val="both"/>
        <w:rPr>
          <w:rFonts w:ascii="Times New Roman" w:hAnsi="Times New Roman"/>
          <w:sz w:val="22"/>
          <w:szCs w:val="22"/>
          <w:lang w:val="es-MX" w:eastAsia="es-MX"/>
        </w:rPr>
      </w:pPr>
      <w:r w:rsidRPr="00E8764A">
        <w:rPr>
          <w:rFonts w:ascii="Times New Roman" w:hAnsi="Times New Roman"/>
          <w:sz w:val="22"/>
          <w:szCs w:val="22"/>
          <w:lang w:val="es-MX" w:eastAsia="es-MX"/>
        </w:rPr>
        <w:object w:dxaOrig="7191" w:dyaOrig="5402">
          <v:shape id="_x0000_i1043" type="#_x0000_t75" style="width:471.75pt;height:252.75pt" o:ole="">
            <v:imagedata r:id="rId44" o:title=""/>
          </v:shape>
          <o:OLEObject Type="Embed" ProgID="PowerPoint.Slide.12" ShapeID="_x0000_i1043" DrawAspect="Content" ObjectID="_1406475752" r:id="rId45"/>
        </w:object>
      </w:r>
      <w:r w:rsidRPr="00E8764A">
        <w:rPr>
          <w:rFonts w:ascii="Times New Roman" w:hAnsi="Times New Roman"/>
          <w:sz w:val="22"/>
          <w:szCs w:val="22"/>
          <w:lang w:val="es-MX" w:eastAsia="es-MX"/>
        </w:rPr>
        <w:object w:dxaOrig="7191" w:dyaOrig="5402">
          <v:shape id="_x0000_i1044" type="#_x0000_t75" style="width:468.75pt;height:246pt" o:ole="">
            <v:imagedata r:id="rId46" o:title=""/>
          </v:shape>
          <o:OLEObject Type="Embed" ProgID="PowerPoint.Slide.12" ShapeID="_x0000_i1044" DrawAspect="Content" ObjectID="_1406475753" r:id="rId47"/>
        </w:object>
      </w:r>
    </w:p>
    <w:p w:rsidR="006E6A83" w:rsidRDefault="006E6A83" w:rsidP="00E8764A">
      <w:pPr>
        <w:shd w:val="clear" w:color="auto" w:fill="FFFFFF"/>
        <w:spacing w:before="100" w:beforeAutospacing="1" w:after="100" w:afterAutospacing="1"/>
        <w:jc w:val="both"/>
        <w:rPr>
          <w:rFonts w:ascii="Times New Roman" w:hAnsi="Times New Roman"/>
          <w:sz w:val="22"/>
          <w:szCs w:val="22"/>
          <w:lang w:val="es-MX" w:eastAsia="es-MX"/>
        </w:rPr>
      </w:pPr>
    </w:p>
    <w:p w:rsidR="006E6A83" w:rsidRDefault="006E6A83" w:rsidP="00E8764A">
      <w:pPr>
        <w:shd w:val="clear" w:color="auto" w:fill="FFFFFF"/>
        <w:spacing w:before="100" w:beforeAutospacing="1" w:after="100" w:afterAutospacing="1"/>
        <w:jc w:val="both"/>
        <w:rPr>
          <w:rFonts w:ascii="Times New Roman" w:hAnsi="Times New Roman"/>
          <w:sz w:val="22"/>
          <w:szCs w:val="22"/>
          <w:lang w:val="es-MX" w:eastAsia="es-MX"/>
        </w:rPr>
      </w:pPr>
    </w:p>
    <w:p w:rsidR="006E6A83" w:rsidRDefault="006E6A83" w:rsidP="00E8764A">
      <w:pPr>
        <w:shd w:val="clear" w:color="auto" w:fill="FFFFFF"/>
        <w:spacing w:before="100" w:beforeAutospacing="1" w:after="100" w:afterAutospacing="1"/>
        <w:jc w:val="both"/>
        <w:rPr>
          <w:rFonts w:ascii="Times New Roman" w:hAnsi="Times New Roman"/>
          <w:sz w:val="22"/>
          <w:szCs w:val="22"/>
          <w:lang w:val="es-MX" w:eastAsia="es-MX"/>
        </w:rPr>
      </w:pPr>
    </w:p>
    <w:p w:rsidR="006E6A83" w:rsidRDefault="006E6A83" w:rsidP="00E8764A">
      <w:pPr>
        <w:shd w:val="clear" w:color="auto" w:fill="FFFFFF"/>
        <w:spacing w:before="100" w:beforeAutospacing="1" w:after="100" w:afterAutospacing="1"/>
        <w:jc w:val="both"/>
        <w:rPr>
          <w:rFonts w:ascii="Times New Roman" w:hAnsi="Times New Roman"/>
          <w:sz w:val="22"/>
          <w:szCs w:val="22"/>
          <w:lang w:val="es-MX" w:eastAsia="es-MX"/>
        </w:rPr>
      </w:pPr>
    </w:p>
    <w:p w:rsidR="006D72B1" w:rsidRDefault="006B3026" w:rsidP="00E8764A">
      <w:pPr>
        <w:shd w:val="clear" w:color="auto" w:fill="FFFFFF"/>
        <w:spacing w:before="100" w:beforeAutospacing="1" w:after="100" w:afterAutospacing="1"/>
        <w:jc w:val="both"/>
        <w:rPr>
          <w:rFonts w:cs="Calibri"/>
          <w:sz w:val="28"/>
          <w:szCs w:val="28"/>
        </w:rPr>
      </w:pPr>
      <w:r w:rsidRPr="00E8764A">
        <w:rPr>
          <w:rFonts w:ascii="Times New Roman" w:hAnsi="Times New Roman"/>
          <w:sz w:val="22"/>
          <w:szCs w:val="22"/>
          <w:lang w:val="es-MX" w:eastAsia="es-MX"/>
        </w:rPr>
        <w:object w:dxaOrig="7191" w:dyaOrig="5402">
          <v:shape id="_x0000_i1045" type="#_x0000_t75" style="width:465pt;height:462.75pt" o:ole="" o:bordertopcolor="this" o:borderleftcolor="this" o:borderbottomcolor="this" o:borderrightcolor="this">
            <v:imagedata r:id="rId48" o:title=""/>
            <w10:bordertop type="triple" width="4"/>
            <w10:borderleft type="triple" width="4"/>
            <w10:borderbottom type="triple" width="4"/>
            <w10:borderright type="triple" width="4"/>
          </v:shape>
          <o:OLEObject Type="Embed" ProgID="PowerPoint.Slide.12" ShapeID="_x0000_i1045" DrawAspect="Content" ObjectID="_1406475754" r:id="rId49"/>
        </w:object>
      </w:r>
    </w:p>
    <w:p w:rsidR="006D72B1" w:rsidRDefault="006D72B1" w:rsidP="00E8764A">
      <w:pPr>
        <w:shd w:val="clear" w:color="auto" w:fill="FFFFFF"/>
        <w:spacing w:before="100" w:beforeAutospacing="1" w:after="100" w:afterAutospacing="1"/>
        <w:jc w:val="both"/>
        <w:rPr>
          <w:rFonts w:cs="Calibri"/>
          <w:sz w:val="28"/>
          <w:szCs w:val="28"/>
        </w:rPr>
      </w:pPr>
    </w:p>
    <w:p w:rsidR="006D72B1" w:rsidRDefault="006D72B1" w:rsidP="00CA0E66">
      <w:pPr>
        <w:shd w:val="clear" w:color="auto" w:fill="FFFFFF"/>
        <w:spacing w:before="100" w:beforeAutospacing="1" w:after="100" w:afterAutospacing="1"/>
        <w:jc w:val="both"/>
        <w:rPr>
          <w:rFonts w:cs="Calibri"/>
          <w:sz w:val="28"/>
          <w:szCs w:val="28"/>
        </w:rPr>
      </w:pPr>
    </w:p>
    <w:p w:rsidR="006D72B1" w:rsidRDefault="006B3026" w:rsidP="00CA0E66">
      <w:pPr>
        <w:shd w:val="clear" w:color="auto" w:fill="FFFFFF"/>
        <w:spacing w:before="100" w:beforeAutospacing="1" w:after="100" w:afterAutospacing="1"/>
        <w:jc w:val="both"/>
        <w:rPr>
          <w:rFonts w:cs="Calibri"/>
          <w:sz w:val="28"/>
          <w:szCs w:val="28"/>
        </w:rPr>
      </w:pPr>
      <w:r w:rsidRPr="006B3026">
        <w:rPr>
          <w:rFonts w:ascii="Times New Roman" w:hAnsi="Times New Roman"/>
          <w:sz w:val="22"/>
          <w:szCs w:val="22"/>
          <w:lang w:val="es-MX" w:eastAsia="es-MX"/>
        </w:rPr>
        <w:object w:dxaOrig="7190" w:dyaOrig="5401">
          <v:shape id="_x0000_i1046" type="#_x0000_t75" style="width:474pt;height:565.5pt" o:ole="" o:bordertopcolor="this" o:borderleftcolor="this" o:borderbottomcolor="this" o:borderrightcolor="this">
            <v:imagedata r:id="rId50" o:title=""/>
            <w10:bordertop type="double" width="4" shadow="t"/>
            <w10:borderleft type="double" width="4" shadow="t"/>
            <w10:borderbottom type="double" width="4" shadow="t"/>
            <w10:borderright type="double" width="4" shadow="t"/>
          </v:shape>
          <o:OLEObject Type="Embed" ProgID="PowerPoint.Slide.12" ShapeID="_x0000_i1046" DrawAspect="Content" ObjectID="_1406475755" r:id="rId51"/>
        </w:object>
      </w:r>
    </w:p>
    <w:bookmarkEnd w:id="0"/>
    <w:p w:rsidR="00AE6480" w:rsidRDefault="00AE6480" w:rsidP="007D4E6E">
      <w:pPr>
        <w:spacing w:line="276" w:lineRule="auto"/>
        <w:rPr>
          <w:lang w:val="es-MX" w:eastAsia="es-MX"/>
        </w:rPr>
      </w:pPr>
    </w:p>
    <w:p w:rsidR="00491166" w:rsidRDefault="00491166" w:rsidP="00491166">
      <w:pPr>
        <w:jc w:val="both"/>
        <w:rPr>
          <w:rFonts w:ascii="Cambria" w:hAnsi="Cambria"/>
          <w:b/>
          <w:sz w:val="32"/>
          <w:szCs w:val="32"/>
          <w:lang w:val="es-MX" w:eastAsia="es-MX"/>
        </w:rPr>
      </w:pPr>
      <w:r>
        <w:rPr>
          <w:rFonts w:ascii="Cambria" w:hAnsi="Cambria"/>
          <w:b/>
          <w:sz w:val="32"/>
          <w:szCs w:val="32"/>
          <w:lang w:val="es-MX" w:eastAsia="es-MX"/>
        </w:rPr>
        <w:lastRenderedPageBreak/>
        <w:t>2.4  MOMENTOS CONTABLES DE LOS INGRESOS</w:t>
      </w:r>
    </w:p>
    <w:p w:rsidR="00AE6480" w:rsidRDefault="00AE6480" w:rsidP="007D4E6E">
      <w:pPr>
        <w:spacing w:line="276" w:lineRule="auto"/>
        <w:rPr>
          <w:lang w:val="es-MX" w:eastAsia="es-MX"/>
        </w:rPr>
      </w:pPr>
    </w:p>
    <w:p w:rsidR="00491166" w:rsidRPr="00046F4C" w:rsidRDefault="00491166" w:rsidP="00491166">
      <w:pPr>
        <w:jc w:val="both"/>
        <w:rPr>
          <w:rFonts w:ascii="Times New Roman" w:hAnsi="Times New Roman"/>
          <w:lang w:val="es-MX"/>
        </w:rPr>
      </w:pPr>
      <w:r>
        <w:rPr>
          <w:rFonts w:ascii="Times New Roman" w:hAnsi="Times New Roman"/>
          <w:lang w:val="es-MX"/>
        </w:rPr>
        <w:t xml:space="preserve">      </w:t>
      </w:r>
      <w:r w:rsidRPr="00046F4C">
        <w:rPr>
          <w:rFonts w:ascii="Times New Roman" w:hAnsi="Times New Roman"/>
          <w:lang w:val="es-MX"/>
        </w:rPr>
        <w:t>Sustentados en el marco de la normatividad vigente, a continuación se definen cada uno de los momentos contables de los ingresos:</w:t>
      </w:r>
    </w:p>
    <w:p w:rsidR="00491166" w:rsidRPr="00046F4C" w:rsidRDefault="00491166" w:rsidP="00491166">
      <w:pPr>
        <w:jc w:val="both"/>
        <w:rPr>
          <w:rFonts w:ascii="Times New Roman" w:hAnsi="Times New Roman"/>
          <w:lang w:val="es-MX"/>
        </w:rPr>
      </w:pPr>
    </w:p>
    <w:p w:rsidR="00491166" w:rsidRPr="00046F4C" w:rsidRDefault="00491166" w:rsidP="00491166">
      <w:pPr>
        <w:jc w:val="both"/>
        <w:rPr>
          <w:rFonts w:ascii="Times New Roman" w:hAnsi="Times New Roman"/>
          <w:lang w:val="es-MX"/>
        </w:rPr>
      </w:pPr>
      <w:r w:rsidRPr="00046F4C">
        <w:rPr>
          <w:rFonts w:ascii="Times New Roman" w:hAnsi="Times New Roman"/>
          <w:lang w:val="es-MX"/>
        </w:rPr>
        <w:t xml:space="preserve">     </w:t>
      </w:r>
      <w:r w:rsidRPr="00046F4C">
        <w:rPr>
          <w:rFonts w:ascii="Times New Roman" w:hAnsi="Times New Roman"/>
          <w:b/>
          <w:i/>
          <w:color w:val="943634" w:themeColor="accent2" w:themeShade="BF"/>
          <w:lang w:val="es-MX"/>
        </w:rPr>
        <w:t>Ingreso Estimado</w:t>
      </w:r>
      <w:r w:rsidRPr="00046F4C">
        <w:rPr>
          <w:rFonts w:ascii="Times New Roman" w:hAnsi="Times New Roman"/>
          <w:b/>
          <w:lang w:val="es-MX"/>
        </w:rPr>
        <w:t>:</w:t>
      </w:r>
      <w:r w:rsidRPr="00046F4C">
        <w:rPr>
          <w:rFonts w:ascii="Times New Roman" w:hAnsi="Times New Roman"/>
          <w:lang w:val="es-MX"/>
        </w:rPr>
        <w:t xml:space="preserve"> es aquel que anualmente se aprueba</w:t>
      </w:r>
    </w:p>
    <w:p w:rsidR="00491166" w:rsidRPr="00046F4C" w:rsidRDefault="00491166" w:rsidP="00491166">
      <w:pPr>
        <w:jc w:val="both"/>
        <w:rPr>
          <w:rFonts w:ascii="Times New Roman" w:hAnsi="Times New Roman"/>
          <w:lang w:val="es-MX"/>
        </w:rPr>
      </w:pPr>
    </w:p>
    <w:p w:rsidR="00491166" w:rsidRPr="00046F4C" w:rsidRDefault="00491166" w:rsidP="00491166">
      <w:pPr>
        <w:jc w:val="both"/>
        <w:rPr>
          <w:rFonts w:ascii="Times New Roman" w:hAnsi="Times New Roman"/>
          <w:lang w:val="es-MX"/>
        </w:rPr>
      </w:pPr>
      <w:r w:rsidRPr="00046F4C">
        <w:rPr>
          <w:rFonts w:ascii="Times New Roman" w:hAnsi="Times New Roman"/>
          <w:b/>
          <w:lang w:val="es-MX"/>
        </w:rPr>
        <w:t xml:space="preserve">      </w:t>
      </w:r>
      <w:r w:rsidRPr="00046F4C">
        <w:rPr>
          <w:rFonts w:ascii="Times New Roman" w:hAnsi="Times New Roman"/>
          <w:b/>
          <w:i/>
          <w:color w:val="943634" w:themeColor="accent2" w:themeShade="BF"/>
          <w:lang w:val="es-MX"/>
        </w:rPr>
        <w:t>Ingreso Modificado</w:t>
      </w:r>
      <w:r w:rsidRPr="00046F4C">
        <w:rPr>
          <w:rFonts w:ascii="Times New Roman" w:hAnsi="Times New Roman"/>
          <w:b/>
          <w:lang w:val="es-MX"/>
        </w:rPr>
        <w:t>:</w:t>
      </w:r>
      <w:r w:rsidRPr="00046F4C">
        <w:rPr>
          <w:rFonts w:ascii="Times New Roman" w:hAnsi="Times New Roman"/>
          <w:lang w:val="es-MX"/>
        </w:rPr>
        <w:t xml:space="preserve"> representa el momento contable que refleja la asignación presupuestaria realizada, que resulte de incorporar en su caso, las modificaciones al ingreso estimado, previstas en el presupuesto autorizado originalmente.  </w:t>
      </w:r>
    </w:p>
    <w:p w:rsidR="00491166" w:rsidRPr="00046F4C" w:rsidRDefault="00491166" w:rsidP="00491166">
      <w:pPr>
        <w:jc w:val="both"/>
        <w:rPr>
          <w:rFonts w:ascii="Times New Roman" w:hAnsi="Times New Roman"/>
          <w:lang w:val="es-MX"/>
        </w:rPr>
      </w:pPr>
    </w:p>
    <w:p w:rsidR="00491166" w:rsidRPr="00046F4C" w:rsidRDefault="00491166" w:rsidP="00491166">
      <w:pPr>
        <w:jc w:val="both"/>
        <w:rPr>
          <w:rFonts w:ascii="Times New Roman" w:hAnsi="Times New Roman"/>
          <w:lang w:val="es-MX"/>
        </w:rPr>
      </w:pPr>
      <w:r w:rsidRPr="00046F4C">
        <w:rPr>
          <w:rFonts w:ascii="Times New Roman" w:hAnsi="Times New Roman"/>
          <w:i/>
          <w:color w:val="943634" w:themeColor="accent2" w:themeShade="BF"/>
          <w:lang w:val="es-MX"/>
        </w:rPr>
        <w:t xml:space="preserve">      </w:t>
      </w:r>
      <w:r w:rsidRPr="00046F4C">
        <w:rPr>
          <w:rFonts w:ascii="Times New Roman" w:hAnsi="Times New Roman"/>
          <w:b/>
          <w:i/>
          <w:color w:val="943634" w:themeColor="accent2" w:themeShade="BF"/>
          <w:lang w:val="es-MX"/>
        </w:rPr>
        <w:t>Ingreso Devengado</w:t>
      </w:r>
      <w:r w:rsidRPr="00046F4C">
        <w:rPr>
          <w:rFonts w:ascii="Times New Roman" w:hAnsi="Times New Roman"/>
          <w:b/>
          <w:lang w:val="es-MX"/>
        </w:rPr>
        <w:t>:</w:t>
      </w:r>
      <w:r w:rsidRPr="00046F4C">
        <w:rPr>
          <w:rFonts w:ascii="Times New Roman" w:hAnsi="Times New Roman"/>
          <w:lang w:val="es-MX"/>
        </w:rPr>
        <w:t xml:space="preserve"> momento contable que se realiza cuando existe jurídicamente el derecho de cobro de los Ingresos </w:t>
      </w:r>
    </w:p>
    <w:p w:rsidR="00491166" w:rsidRPr="00046F4C" w:rsidRDefault="00491166" w:rsidP="00491166">
      <w:pPr>
        <w:jc w:val="both"/>
        <w:rPr>
          <w:rFonts w:ascii="Times New Roman" w:hAnsi="Times New Roman"/>
          <w:lang w:val="es-MX"/>
        </w:rPr>
      </w:pPr>
    </w:p>
    <w:p w:rsidR="00491166" w:rsidRPr="00046F4C" w:rsidRDefault="00491166" w:rsidP="00491166">
      <w:pPr>
        <w:jc w:val="both"/>
        <w:rPr>
          <w:rFonts w:ascii="Times New Roman" w:hAnsi="Times New Roman"/>
          <w:lang w:val="es-MX"/>
        </w:rPr>
      </w:pPr>
      <w:r w:rsidRPr="00046F4C">
        <w:rPr>
          <w:rFonts w:ascii="Times New Roman" w:hAnsi="Times New Roman"/>
          <w:b/>
          <w:i/>
          <w:color w:val="943634" w:themeColor="accent2" w:themeShade="BF"/>
          <w:lang w:val="es-MX"/>
        </w:rPr>
        <w:t xml:space="preserve">      Ingreso Recaudado</w:t>
      </w:r>
      <w:r w:rsidRPr="00046F4C">
        <w:rPr>
          <w:rFonts w:ascii="Times New Roman" w:hAnsi="Times New Roman"/>
          <w:b/>
          <w:lang w:val="es-MX"/>
        </w:rPr>
        <w:t>:</w:t>
      </w:r>
      <w:r w:rsidRPr="00046F4C">
        <w:rPr>
          <w:rFonts w:ascii="Times New Roman" w:hAnsi="Times New Roman"/>
          <w:lang w:val="es-MX"/>
        </w:rPr>
        <w:t xml:space="preserve"> momento contable que refleja el cobro en efectivo o cualquier otro medio de pago de los Ingresos</w:t>
      </w:r>
    </w:p>
    <w:p w:rsidR="00491166" w:rsidRPr="00046F4C" w:rsidRDefault="00491166" w:rsidP="00491166">
      <w:pPr>
        <w:jc w:val="both"/>
        <w:rPr>
          <w:rFonts w:ascii="Times New Roman" w:hAnsi="Times New Roman"/>
          <w:lang w:val="es-MX"/>
        </w:rPr>
      </w:pPr>
    </w:p>
    <w:p w:rsidR="00491166" w:rsidRPr="00046F4C" w:rsidRDefault="00491166" w:rsidP="00491166">
      <w:pPr>
        <w:jc w:val="both"/>
        <w:rPr>
          <w:rFonts w:ascii="Times New Roman" w:hAnsi="Times New Roman"/>
          <w:lang w:val="es-MX"/>
        </w:rPr>
      </w:pPr>
      <w:r w:rsidRPr="00046F4C">
        <w:rPr>
          <w:rFonts w:ascii="Times New Roman" w:hAnsi="Times New Roman"/>
          <w:lang w:val="es-MX"/>
        </w:rPr>
        <w:t xml:space="preserve">      El CONAC ha dispuesto que </w:t>
      </w:r>
      <w:r w:rsidRPr="00046F4C">
        <w:rPr>
          <w:rFonts w:ascii="Times New Roman" w:hAnsi="Times New Roman"/>
          <w:b/>
          <w:i/>
          <w:color w:val="943634" w:themeColor="accent2" w:themeShade="BF"/>
          <w:lang w:val="es-MX"/>
        </w:rPr>
        <w:t>“excepcionalmente</w:t>
      </w:r>
      <w:r w:rsidRPr="00046F4C">
        <w:rPr>
          <w:rFonts w:ascii="Times New Roman" w:hAnsi="Times New Roman"/>
          <w:lang w:val="es-MX"/>
        </w:rPr>
        <w:t xml:space="preserve">, cuando por la naturaleza de las operaciones no sea posible el registro consecutivo de todos los momentos contables de los ingresos, </w:t>
      </w:r>
      <w:r w:rsidRPr="00046F4C">
        <w:rPr>
          <w:rFonts w:ascii="Times New Roman" w:hAnsi="Times New Roman"/>
          <w:b/>
          <w:i/>
          <w:color w:val="943634" w:themeColor="accent2" w:themeShade="BF"/>
          <w:lang w:val="es-MX"/>
        </w:rPr>
        <w:t>se registrarán simultáneamente</w:t>
      </w:r>
      <w:r w:rsidRPr="00046F4C">
        <w:rPr>
          <w:rFonts w:ascii="Times New Roman" w:hAnsi="Times New Roman"/>
          <w:lang w:val="es-MX"/>
        </w:rPr>
        <w:t xml:space="preserve"> de acuerdo a lineamientos previamente definidos por las unidades administrativas o instancias competentes en materia de Contabilidad Gubernamental”, refiriéndose a las etapas del devengado y recaudado. </w:t>
      </w:r>
    </w:p>
    <w:p w:rsidR="00AE6480" w:rsidRPr="00046F4C" w:rsidRDefault="00AE6480" w:rsidP="007D4E6E">
      <w:pPr>
        <w:spacing w:line="276" w:lineRule="auto"/>
        <w:rPr>
          <w:rFonts w:ascii="Times New Roman" w:hAnsi="Times New Roman"/>
          <w:lang w:val="es-MX" w:eastAsia="es-MX"/>
        </w:rPr>
      </w:pPr>
    </w:p>
    <w:p w:rsidR="00AE6480" w:rsidRDefault="00046F4C" w:rsidP="007D4E6E">
      <w:pPr>
        <w:spacing w:line="276" w:lineRule="auto"/>
        <w:rPr>
          <w:lang w:val="es-MX" w:eastAsia="es-MX"/>
        </w:rPr>
      </w:pPr>
      <w:r w:rsidRPr="00491166">
        <w:rPr>
          <w:rFonts w:ascii="Times New Roman" w:hAnsi="Times New Roman"/>
          <w:sz w:val="22"/>
          <w:szCs w:val="22"/>
          <w:lang w:val="es-MX" w:eastAsia="es-MX"/>
        </w:rPr>
        <w:object w:dxaOrig="7176" w:dyaOrig="5391">
          <v:shape id="_x0000_i1047" type="#_x0000_t75" style="width:469.5pt;height:242.25pt" o:ole="">
            <v:imagedata r:id="rId52" o:title=""/>
          </v:shape>
          <o:OLEObject Type="Embed" ProgID="PowerPoint.Slide.12" ShapeID="_x0000_i1047" DrawAspect="Content" ObjectID="_1406475756" r:id="rId53"/>
        </w:object>
      </w: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491166" w:rsidRDefault="00491166" w:rsidP="007D4E6E">
      <w:pPr>
        <w:spacing w:line="276" w:lineRule="auto"/>
        <w:rPr>
          <w:lang w:val="es-MX" w:eastAsia="es-MX"/>
        </w:rPr>
      </w:pPr>
    </w:p>
    <w:p w:rsidR="00C77921" w:rsidRDefault="001A5F7E" w:rsidP="00F8019A">
      <w:pPr>
        <w:spacing w:line="276" w:lineRule="auto"/>
        <w:rPr>
          <w:rFonts w:ascii="Times New Roman" w:hAnsi="Times New Roman"/>
          <w:sz w:val="22"/>
          <w:szCs w:val="22"/>
          <w:lang w:val="es-MX" w:eastAsia="es-MX"/>
        </w:rPr>
      </w:pPr>
      <w:r>
        <w:rPr>
          <w:rFonts w:ascii="Times New Roman" w:hAnsi="Times New Roman"/>
          <w:noProof/>
          <w:sz w:val="22"/>
          <w:szCs w:val="22"/>
          <w:lang w:val="es-MX" w:eastAsia="es-MX"/>
        </w:rPr>
        <w:pict>
          <v:shapetype id="_x0000_t32" coordsize="21600,21600" o:spt="32" o:oned="t" path="m,l21600,21600e" filled="f">
            <v:path arrowok="t" fillok="f" o:connecttype="none"/>
            <o:lock v:ext="edit" shapetype="t"/>
          </v:shapetype>
          <v:shape id="_x0000_s1057" type="#_x0000_t32" style="position:absolute;margin-left:7.1pt;margin-top:308.7pt;width:455.25pt;height:.05pt;z-index:251658240" o:connectortype="straight" strokeweight="4.5pt"/>
        </w:pict>
      </w:r>
      <w:r w:rsidR="00491166" w:rsidRPr="00491166">
        <w:rPr>
          <w:rFonts w:ascii="Times New Roman" w:hAnsi="Times New Roman"/>
          <w:sz w:val="22"/>
          <w:szCs w:val="22"/>
          <w:lang w:val="es-MX" w:eastAsia="es-MX"/>
        </w:rPr>
        <w:object w:dxaOrig="7191" w:dyaOrig="5402">
          <v:shape id="_x0000_i1048" type="#_x0000_t75" style="width:499.5pt;height:302.25pt" o:ole="">
            <v:imagedata r:id="rId54" o:title=""/>
          </v:shape>
          <o:OLEObject Type="Embed" ProgID="PowerPoint.Slide.12" ShapeID="_x0000_i1048" DrawAspect="Content" ObjectID="_1406475757" r:id="rId55"/>
        </w:object>
      </w:r>
    </w:p>
    <w:p w:rsidR="00C77921" w:rsidRDefault="00C77921" w:rsidP="00F8019A">
      <w:pPr>
        <w:spacing w:line="276" w:lineRule="auto"/>
        <w:rPr>
          <w:rFonts w:ascii="Times New Roman" w:hAnsi="Times New Roman"/>
          <w:sz w:val="22"/>
          <w:szCs w:val="22"/>
          <w:lang w:val="es-MX" w:eastAsia="es-MX"/>
        </w:rPr>
      </w:pPr>
    </w:p>
    <w:p w:rsidR="00AE6480" w:rsidRDefault="00F8019A" w:rsidP="00F8019A">
      <w:pPr>
        <w:spacing w:line="276" w:lineRule="auto"/>
        <w:rPr>
          <w:rFonts w:ascii="Cambria" w:hAnsi="Cambria"/>
          <w:b/>
          <w:sz w:val="32"/>
          <w:szCs w:val="32"/>
          <w:lang w:val="es-MX" w:eastAsia="es-MX"/>
        </w:rPr>
      </w:pPr>
      <w:r>
        <w:rPr>
          <w:rFonts w:ascii="Cambria" w:hAnsi="Cambria"/>
          <w:b/>
          <w:sz w:val="32"/>
          <w:szCs w:val="32"/>
          <w:lang w:val="es-MX" w:eastAsia="es-MX"/>
        </w:rPr>
        <w:t>2.5  CLASIFICADOR POR TIPO DE GASTO</w:t>
      </w:r>
    </w:p>
    <w:p w:rsidR="00CC1BC5" w:rsidRDefault="00CC1BC5" w:rsidP="00F8019A">
      <w:pPr>
        <w:spacing w:line="276" w:lineRule="auto"/>
        <w:rPr>
          <w:rFonts w:ascii="Cambria" w:hAnsi="Cambria"/>
          <w:b/>
          <w:sz w:val="32"/>
          <w:szCs w:val="32"/>
          <w:lang w:val="es-MX" w:eastAsia="es-MX"/>
        </w:rPr>
      </w:pPr>
    </w:p>
    <w:p w:rsidR="00C77921" w:rsidRDefault="00C77921" w:rsidP="00C77921">
      <w:pPr>
        <w:jc w:val="both"/>
        <w:rPr>
          <w:rFonts w:ascii="Times New Roman" w:hAnsi="Times New Roman"/>
          <w:sz w:val="28"/>
          <w:szCs w:val="28"/>
          <w:lang w:val="es-MX"/>
        </w:rPr>
      </w:pPr>
      <w:r w:rsidRPr="00C77921">
        <w:rPr>
          <w:rFonts w:ascii="Times New Roman" w:hAnsi="Times New Roman"/>
          <w:sz w:val="28"/>
          <w:szCs w:val="28"/>
          <w:lang w:val="es-MX"/>
        </w:rPr>
        <w:t xml:space="preserve">           El Clasificador por Tipo de Gasto relaciona las transacciones públicas derivadas del gasto con los grandes agregados de la clasificación económica tal y como se muestra a continuación:</w:t>
      </w:r>
    </w:p>
    <w:p w:rsidR="00C77921" w:rsidRPr="00C77921" w:rsidRDefault="00C77921" w:rsidP="00C77921">
      <w:pPr>
        <w:jc w:val="both"/>
        <w:rPr>
          <w:rFonts w:ascii="Times New Roman" w:hAnsi="Times New Roman"/>
          <w:sz w:val="28"/>
          <w:szCs w:val="28"/>
          <w:lang w:val="es-MX"/>
        </w:rPr>
      </w:pPr>
    </w:p>
    <w:p w:rsidR="00C77921" w:rsidRPr="00C77921" w:rsidRDefault="00C77921" w:rsidP="00C77921">
      <w:pPr>
        <w:jc w:val="both"/>
        <w:rPr>
          <w:rFonts w:ascii="Times New Roman" w:hAnsi="Times New Roman"/>
          <w:b/>
          <w:sz w:val="28"/>
          <w:szCs w:val="28"/>
          <w:lang w:val="es-MX"/>
        </w:rPr>
      </w:pPr>
      <w:r w:rsidRPr="00C77921">
        <w:rPr>
          <w:rFonts w:ascii="Times New Roman" w:hAnsi="Times New Roman"/>
          <w:b/>
          <w:sz w:val="28"/>
          <w:szCs w:val="28"/>
          <w:lang w:val="es-MX"/>
        </w:rPr>
        <w:t xml:space="preserve">      1   Gasto Corriente</w:t>
      </w:r>
    </w:p>
    <w:p w:rsidR="00C77921" w:rsidRPr="00C77921" w:rsidRDefault="00C77921" w:rsidP="00C77921">
      <w:pPr>
        <w:jc w:val="both"/>
        <w:rPr>
          <w:rFonts w:ascii="Times New Roman" w:hAnsi="Times New Roman"/>
          <w:b/>
          <w:sz w:val="28"/>
          <w:szCs w:val="28"/>
          <w:lang w:val="es-MX"/>
        </w:rPr>
      </w:pPr>
      <w:r w:rsidRPr="00C77921">
        <w:rPr>
          <w:rFonts w:ascii="Times New Roman" w:hAnsi="Times New Roman"/>
          <w:b/>
          <w:sz w:val="28"/>
          <w:szCs w:val="28"/>
          <w:lang w:val="es-MX"/>
        </w:rPr>
        <w:t xml:space="preserve">      2   Gasto de Capital</w:t>
      </w:r>
    </w:p>
    <w:p w:rsidR="00C77921" w:rsidRPr="00C77921" w:rsidRDefault="00C77921" w:rsidP="00C77921">
      <w:pPr>
        <w:jc w:val="both"/>
        <w:rPr>
          <w:rFonts w:ascii="Times New Roman" w:hAnsi="Times New Roman"/>
          <w:b/>
          <w:sz w:val="28"/>
          <w:szCs w:val="28"/>
          <w:lang w:val="es-MX"/>
        </w:rPr>
      </w:pPr>
      <w:r w:rsidRPr="00C77921">
        <w:rPr>
          <w:rFonts w:ascii="Times New Roman" w:hAnsi="Times New Roman"/>
          <w:b/>
          <w:sz w:val="28"/>
          <w:szCs w:val="28"/>
          <w:lang w:val="es-MX"/>
        </w:rPr>
        <w:t xml:space="preserve">      3   Amortización de la deuda y disminución de pasivos</w:t>
      </w:r>
    </w:p>
    <w:p w:rsidR="00C77921" w:rsidRPr="00C77921" w:rsidRDefault="00C77921" w:rsidP="00C77921">
      <w:pPr>
        <w:jc w:val="both"/>
        <w:rPr>
          <w:rFonts w:ascii="Times New Roman" w:hAnsi="Times New Roman"/>
          <w:sz w:val="28"/>
          <w:szCs w:val="28"/>
          <w:lang w:val="es-MX"/>
        </w:rPr>
      </w:pPr>
    </w:p>
    <w:p w:rsidR="00C77921" w:rsidRDefault="00C77921" w:rsidP="00C77921">
      <w:pPr>
        <w:jc w:val="both"/>
        <w:rPr>
          <w:rFonts w:ascii="Times New Roman" w:hAnsi="Times New Roman"/>
          <w:sz w:val="28"/>
          <w:szCs w:val="28"/>
          <w:lang w:val="es-MX"/>
        </w:rPr>
      </w:pPr>
      <w:r w:rsidRPr="00C77921">
        <w:rPr>
          <w:rFonts w:ascii="Times New Roman" w:hAnsi="Times New Roman"/>
          <w:sz w:val="28"/>
          <w:szCs w:val="28"/>
          <w:lang w:val="es-MX"/>
        </w:rPr>
        <w:t xml:space="preserve">      El Clasificador por Tipo de Gasto del Acuerdo emitido por la CONAC, de fecha 28 de mayo de 2010, publicado en el Diario Oficial de la Federación el 10 de junio del mismo año, presenta la conceptualización de tales categorías.</w:t>
      </w:r>
    </w:p>
    <w:p w:rsidR="00C77921" w:rsidRPr="00C77921" w:rsidRDefault="00C77921" w:rsidP="00C77921">
      <w:pPr>
        <w:jc w:val="both"/>
        <w:rPr>
          <w:rFonts w:ascii="Times New Roman" w:hAnsi="Times New Roman"/>
          <w:sz w:val="28"/>
          <w:szCs w:val="28"/>
          <w:lang w:val="es-MX"/>
        </w:rPr>
      </w:pPr>
    </w:p>
    <w:p w:rsidR="00C77921" w:rsidRDefault="00C77921" w:rsidP="00C77921">
      <w:pPr>
        <w:jc w:val="both"/>
        <w:rPr>
          <w:rFonts w:ascii="Times New Roman" w:hAnsi="Times New Roman"/>
          <w:sz w:val="28"/>
          <w:szCs w:val="28"/>
          <w:lang w:val="es-MX"/>
        </w:rPr>
      </w:pPr>
      <w:r w:rsidRPr="00C77921">
        <w:rPr>
          <w:rFonts w:ascii="Times New Roman" w:hAnsi="Times New Roman"/>
          <w:b/>
          <w:color w:val="943634" w:themeColor="accent2" w:themeShade="BF"/>
          <w:sz w:val="28"/>
          <w:szCs w:val="28"/>
          <w:lang w:val="es-MX"/>
        </w:rPr>
        <w:t>Gasto Corriente:</w:t>
      </w:r>
      <w:r w:rsidRPr="00C77921">
        <w:rPr>
          <w:rFonts w:ascii="Times New Roman" w:hAnsi="Times New Roman"/>
          <w:b/>
          <w:sz w:val="28"/>
          <w:szCs w:val="28"/>
          <w:lang w:val="es-MX"/>
        </w:rPr>
        <w:t xml:space="preserve"> </w:t>
      </w:r>
      <w:r w:rsidRPr="00C77921">
        <w:rPr>
          <w:rFonts w:ascii="Times New Roman" w:hAnsi="Times New Roman"/>
          <w:sz w:val="28"/>
          <w:szCs w:val="28"/>
          <w:lang w:val="es-MX"/>
        </w:rPr>
        <w:t>son los gastos de consumo y/o de operación, el arrendamiento de la propiedad y las transferencias otorgadas a los otros componentes institucionales del sistema económico para financiar gastos de estas características.</w:t>
      </w:r>
    </w:p>
    <w:p w:rsidR="00C77921" w:rsidRPr="00C77921" w:rsidRDefault="00C77921" w:rsidP="00C77921">
      <w:pPr>
        <w:jc w:val="both"/>
        <w:rPr>
          <w:rFonts w:ascii="Times New Roman" w:hAnsi="Times New Roman"/>
          <w:sz w:val="28"/>
          <w:szCs w:val="28"/>
          <w:lang w:val="es-MX"/>
        </w:rPr>
      </w:pPr>
    </w:p>
    <w:p w:rsidR="00C77921" w:rsidRDefault="00C77921" w:rsidP="00C77921">
      <w:pPr>
        <w:jc w:val="both"/>
        <w:rPr>
          <w:rFonts w:ascii="Times New Roman" w:hAnsi="Times New Roman"/>
          <w:sz w:val="28"/>
          <w:szCs w:val="28"/>
          <w:lang w:val="es-MX"/>
        </w:rPr>
      </w:pPr>
      <w:r w:rsidRPr="00C77921">
        <w:rPr>
          <w:rFonts w:ascii="Times New Roman" w:hAnsi="Times New Roman"/>
          <w:b/>
          <w:color w:val="943634" w:themeColor="accent2" w:themeShade="BF"/>
          <w:sz w:val="28"/>
          <w:szCs w:val="28"/>
          <w:lang w:val="es-MX"/>
        </w:rPr>
        <w:t>Gasto de Capital:</w:t>
      </w:r>
      <w:r w:rsidRPr="00C77921">
        <w:rPr>
          <w:rFonts w:ascii="Times New Roman" w:hAnsi="Times New Roman"/>
          <w:sz w:val="28"/>
          <w:szCs w:val="28"/>
          <w:lang w:val="es-MX"/>
        </w:rPr>
        <w:t xml:space="preserve"> son los gastos destinados a la inversión de capital y las transferencias a otros componentes institucionales del sistema económico que se efectúan para financiar gastos de éstos con tal propósito.</w:t>
      </w:r>
    </w:p>
    <w:p w:rsidR="00C77921" w:rsidRPr="00C77921" w:rsidRDefault="00C77921" w:rsidP="00C77921">
      <w:pPr>
        <w:jc w:val="both"/>
        <w:rPr>
          <w:rFonts w:ascii="Times New Roman" w:hAnsi="Times New Roman"/>
          <w:sz w:val="28"/>
          <w:szCs w:val="28"/>
          <w:lang w:val="es-MX"/>
        </w:rPr>
      </w:pPr>
    </w:p>
    <w:p w:rsidR="00C77921" w:rsidRPr="00C77921" w:rsidRDefault="00C77921" w:rsidP="00C77921">
      <w:pPr>
        <w:jc w:val="both"/>
        <w:rPr>
          <w:rFonts w:ascii="Times New Roman" w:hAnsi="Times New Roman"/>
          <w:sz w:val="28"/>
          <w:szCs w:val="28"/>
          <w:lang w:val="es-MX"/>
        </w:rPr>
      </w:pPr>
      <w:r w:rsidRPr="00C77921">
        <w:rPr>
          <w:rFonts w:ascii="Times New Roman" w:hAnsi="Times New Roman"/>
          <w:b/>
          <w:color w:val="943634" w:themeColor="accent2" w:themeShade="BF"/>
          <w:sz w:val="28"/>
          <w:szCs w:val="28"/>
          <w:lang w:val="es-MX"/>
        </w:rPr>
        <w:t>Amortización de la deuda y disminución de pasivos:</w:t>
      </w:r>
      <w:r w:rsidRPr="00C77921">
        <w:rPr>
          <w:rFonts w:ascii="Times New Roman" w:hAnsi="Times New Roman"/>
          <w:sz w:val="28"/>
          <w:szCs w:val="28"/>
          <w:lang w:val="es-MX"/>
        </w:rPr>
        <w:t xml:space="preserve"> comprende la amortización de la deuda adquirida y disminución de pasivos con el sector privado, público y externo.</w:t>
      </w:r>
    </w:p>
    <w:p w:rsidR="00C77921" w:rsidRDefault="00C77921" w:rsidP="00F8019A">
      <w:pPr>
        <w:spacing w:line="276" w:lineRule="auto"/>
        <w:rPr>
          <w:rFonts w:ascii="Cambria" w:hAnsi="Cambria"/>
          <w:b/>
          <w:sz w:val="32"/>
          <w:szCs w:val="32"/>
          <w:lang w:val="es-MX" w:eastAsia="es-MX"/>
        </w:rPr>
      </w:pPr>
    </w:p>
    <w:p w:rsidR="00C77921" w:rsidRDefault="00017CB2" w:rsidP="00F8019A">
      <w:pPr>
        <w:spacing w:line="276" w:lineRule="auto"/>
        <w:rPr>
          <w:rFonts w:ascii="Cambria" w:hAnsi="Cambria"/>
          <w:b/>
          <w:sz w:val="32"/>
          <w:szCs w:val="32"/>
          <w:lang w:val="es-MX" w:eastAsia="es-MX"/>
        </w:rPr>
      </w:pPr>
      <w:r w:rsidRPr="00C77921">
        <w:rPr>
          <w:rFonts w:ascii="Times New Roman" w:hAnsi="Times New Roman"/>
          <w:sz w:val="22"/>
          <w:szCs w:val="22"/>
          <w:lang w:val="es-MX" w:eastAsia="es-MX"/>
        </w:rPr>
        <w:object w:dxaOrig="7191" w:dyaOrig="5402">
          <v:shape id="_x0000_i1049" type="#_x0000_t75" style="width:469.5pt;height:407.25pt" o:ole="">
            <v:imagedata r:id="rId56" o:title=""/>
          </v:shape>
          <o:OLEObject Type="Embed" ProgID="PowerPoint.Slide.12" ShapeID="_x0000_i1049" DrawAspect="Content" ObjectID="_1406475758" r:id="rId57"/>
        </w:object>
      </w:r>
    </w:p>
    <w:p w:rsidR="00F8019A" w:rsidRDefault="00F8019A" w:rsidP="00F8019A">
      <w:pPr>
        <w:spacing w:line="276" w:lineRule="auto"/>
        <w:rPr>
          <w:rFonts w:ascii="Cambria" w:hAnsi="Cambria"/>
          <w:b/>
          <w:sz w:val="32"/>
          <w:szCs w:val="32"/>
          <w:lang w:val="es-MX" w:eastAsia="es-MX"/>
        </w:rPr>
      </w:pPr>
    </w:p>
    <w:p w:rsidR="00304174" w:rsidRDefault="001A5F7E" w:rsidP="00304174">
      <w:pPr>
        <w:spacing w:line="276" w:lineRule="auto"/>
        <w:rPr>
          <w:rFonts w:ascii="Cambria" w:hAnsi="Cambria"/>
          <w:b/>
          <w:sz w:val="32"/>
          <w:szCs w:val="32"/>
          <w:lang w:val="es-MX" w:eastAsia="es-MX"/>
        </w:rPr>
      </w:pPr>
      <w:r w:rsidRPr="001A5F7E">
        <w:rPr>
          <w:rFonts w:ascii="Times New Roman" w:hAnsi="Times New Roman"/>
          <w:noProof/>
          <w:sz w:val="22"/>
          <w:szCs w:val="22"/>
          <w:lang w:val="es-MX" w:eastAsia="es-MX"/>
        </w:rPr>
        <w:lastRenderedPageBreak/>
        <w:pict>
          <v:shape id="_x0000_s1060" type="#_x0000_t32" style="position:absolute;margin-left:-9.4pt;margin-top:266.45pt;width:474pt;height:0;z-index:251659264" o:connectortype="straight"/>
        </w:pict>
      </w:r>
      <w:r w:rsidR="00017CB2" w:rsidRPr="00C77921">
        <w:rPr>
          <w:rFonts w:ascii="Times New Roman" w:hAnsi="Times New Roman"/>
          <w:sz w:val="22"/>
          <w:szCs w:val="22"/>
          <w:lang w:val="es-MX" w:eastAsia="es-MX"/>
        </w:rPr>
        <w:object w:dxaOrig="7176" w:dyaOrig="5391">
          <v:shape id="_x0000_i1050" type="#_x0000_t75" style="width:468pt;height:278.25pt" o:ole="">
            <v:imagedata r:id="rId58" o:title=""/>
          </v:shape>
          <o:OLEObject Type="Embed" ProgID="PowerPoint.Slide.12" ShapeID="_x0000_i1050" DrawAspect="Content" ObjectID="_1406475759" r:id="rId59"/>
        </w:object>
      </w:r>
      <w:r w:rsidR="00304174">
        <w:rPr>
          <w:rFonts w:ascii="Cambria" w:hAnsi="Cambria"/>
          <w:b/>
          <w:sz w:val="32"/>
          <w:szCs w:val="32"/>
          <w:lang w:val="es-MX" w:eastAsia="es-MX"/>
        </w:rPr>
        <w:t>2.</w:t>
      </w:r>
      <w:r w:rsidR="00AC563B">
        <w:rPr>
          <w:rFonts w:ascii="Cambria" w:hAnsi="Cambria"/>
          <w:b/>
          <w:sz w:val="32"/>
          <w:szCs w:val="32"/>
          <w:lang w:val="es-MX" w:eastAsia="es-MX"/>
        </w:rPr>
        <w:t>6</w:t>
      </w:r>
      <w:r w:rsidR="00304174">
        <w:rPr>
          <w:rFonts w:ascii="Cambria" w:hAnsi="Cambria"/>
          <w:b/>
          <w:sz w:val="32"/>
          <w:szCs w:val="32"/>
          <w:lang w:val="es-MX" w:eastAsia="es-MX"/>
        </w:rPr>
        <w:t xml:space="preserve">  CLASIFICADOR FUNCIONAL DEL  GASTO</w:t>
      </w:r>
    </w:p>
    <w:p w:rsidR="00F8019A" w:rsidRDefault="00F32A7F" w:rsidP="00F8019A">
      <w:pPr>
        <w:spacing w:line="276" w:lineRule="auto"/>
        <w:rPr>
          <w:rFonts w:ascii="Cambria" w:hAnsi="Cambria"/>
          <w:b/>
          <w:sz w:val="32"/>
          <w:szCs w:val="32"/>
          <w:lang w:val="es-MX" w:eastAsia="es-MX"/>
        </w:rPr>
      </w:pPr>
      <w:r w:rsidRPr="00F32A7F">
        <w:rPr>
          <w:rFonts w:ascii="Times New Roman" w:hAnsi="Times New Roman"/>
          <w:sz w:val="22"/>
          <w:szCs w:val="22"/>
          <w:lang w:val="es-MX" w:eastAsia="es-MX"/>
        </w:rPr>
        <w:object w:dxaOrig="7191" w:dyaOrig="5402">
          <v:shape id="_x0000_i1051" type="#_x0000_t75" style="width:474.75pt;height:285.75pt" o:ole="">
            <v:imagedata r:id="rId60" o:title=""/>
          </v:shape>
          <o:OLEObject Type="Embed" ProgID="PowerPoint.Slide.12" ShapeID="_x0000_i1051" DrawAspect="Content" ObjectID="_1406475760" r:id="rId61"/>
        </w:object>
      </w:r>
    </w:p>
    <w:p w:rsidR="00F8019A" w:rsidRDefault="00F8019A" w:rsidP="00F8019A">
      <w:pPr>
        <w:spacing w:line="276" w:lineRule="auto"/>
        <w:rPr>
          <w:rFonts w:ascii="Cambria" w:hAnsi="Cambria"/>
          <w:b/>
          <w:sz w:val="32"/>
          <w:szCs w:val="32"/>
          <w:lang w:val="es-MX" w:eastAsia="es-MX"/>
        </w:rPr>
      </w:pPr>
    </w:p>
    <w:p w:rsidR="00F8019A" w:rsidRDefault="00F32A7F" w:rsidP="00F8019A">
      <w:pPr>
        <w:spacing w:line="276" w:lineRule="auto"/>
        <w:rPr>
          <w:rFonts w:ascii="Cambria" w:hAnsi="Cambria"/>
          <w:b/>
          <w:sz w:val="32"/>
          <w:szCs w:val="32"/>
          <w:lang w:val="es-MX" w:eastAsia="es-MX"/>
        </w:rPr>
      </w:pPr>
      <w:r w:rsidRPr="00F32A7F">
        <w:rPr>
          <w:rFonts w:ascii="Times New Roman" w:hAnsi="Times New Roman"/>
          <w:sz w:val="22"/>
          <w:szCs w:val="22"/>
          <w:lang w:val="es-MX" w:eastAsia="es-MX"/>
        </w:rPr>
        <w:object w:dxaOrig="7191" w:dyaOrig="5402">
          <v:shape id="_x0000_i1052" type="#_x0000_t75" style="width:462pt;height:300.75pt" o:ole="" o:bordertopcolor="this" o:borderleftcolor="this" o:borderbottomcolor="this" o:borderrightcolor="this">
            <v:imagedata r:id="rId62" o:title=""/>
            <w10:bordertop type="double" width="4"/>
            <w10:borderleft type="double" width="4"/>
            <w10:borderbottom type="double" width="4"/>
            <w10:borderright type="double" width="4"/>
          </v:shape>
          <o:OLEObject Type="Embed" ProgID="PowerPoint.Slide.12" ShapeID="_x0000_i1052" DrawAspect="Content" ObjectID="_1406475761" r:id="rId63"/>
        </w:object>
      </w:r>
    </w:p>
    <w:p w:rsidR="00F8019A" w:rsidRDefault="00F32A7F" w:rsidP="00F8019A">
      <w:pPr>
        <w:spacing w:line="276" w:lineRule="auto"/>
        <w:rPr>
          <w:rFonts w:ascii="Cambria" w:hAnsi="Cambria"/>
          <w:b/>
          <w:sz w:val="32"/>
          <w:szCs w:val="32"/>
          <w:lang w:val="es-MX" w:eastAsia="es-MX"/>
        </w:rPr>
      </w:pPr>
      <w:r w:rsidRPr="00F32A7F">
        <w:rPr>
          <w:rFonts w:ascii="Times New Roman" w:hAnsi="Times New Roman"/>
          <w:sz w:val="22"/>
          <w:szCs w:val="22"/>
          <w:lang w:val="es-MX" w:eastAsia="es-MX"/>
        </w:rPr>
        <w:object w:dxaOrig="7176" w:dyaOrig="5391">
          <v:shape id="_x0000_i1053" type="#_x0000_t75" style="width:462pt;height:269.25pt" o:ole="" o:bordertopcolor="this" o:borderleftcolor="this" o:borderbottomcolor="this" o:borderrightcolor="this">
            <v:imagedata r:id="rId64" o:title=""/>
            <w10:bordertop type="double" width="4"/>
            <w10:borderleft type="double" width="4"/>
            <w10:borderbottom type="double" width="4"/>
            <w10:borderright type="double" width="4"/>
          </v:shape>
          <o:OLEObject Type="Embed" ProgID="PowerPoint.Slide.12" ShapeID="_x0000_i1053" DrawAspect="Content" ObjectID="_1406475762" r:id="rId65"/>
        </w:object>
      </w:r>
    </w:p>
    <w:p w:rsidR="00F8019A" w:rsidRDefault="00F8019A" w:rsidP="00F8019A">
      <w:pPr>
        <w:spacing w:line="276" w:lineRule="auto"/>
        <w:rPr>
          <w:rFonts w:ascii="Cambria" w:hAnsi="Cambria"/>
          <w:b/>
          <w:sz w:val="32"/>
          <w:szCs w:val="32"/>
          <w:lang w:val="es-MX" w:eastAsia="es-MX"/>
        </w:rPr>
      </w:pPr>
    </w:p>
    <w:p w:rsidR="00F8019A" w:rsidRDefault="00F8019A" w:rsidP="00F8019A">
      <w:pPr>
        <w:spacing w:line="276" w:lineRule="auto"/>
        <w:rPr>
          <w:rFonts w:ascii="Cambria" w:hAnsi="Cambria"/>
          <w:b/>
          <w:sz w:val="32"/>
          <w:szCs w:val="32"/>
          <w:lang w:val="es-MX" w:eastAsia="es-MX"/>
        </w:rPr>
      </w:pPr>
    </w:p>
    <w:p w:rsidR="00CA3BE6" w:rsidRDefault="00CA3BE6" w:rsidP="00CA3BE6">
      <w:pPr>
        <w:pStyle w:val="Ttulo2"/>
        <w:spacing w:before="0" w:line="240" w:lineRule="auto"/>
        <w:jc w:val="both"/>
        <w:rPr>
          <w:szCs w:val="32"/>
        </w:rPr>
      </w:pPr>
      <w:r>
        <w:rPr>
          <w:szCs w:val="32"/>
        </w:rPr>
        <w:lastRenderedPageBreak/>
        <w:t>3</w:t>
      </w:r>
      <w:r w:rsidRPr="009B4327">
        <w:rPr>
          <w:szCs w:val="32"/>
        </w:rPr>
        <w:t>.</w:t>
      </w:r>
      <w:r w:rsidRPr="009B4327">
        <w:rPr>
          <w:szCs w:val="32"/>
        </w:rPr>
        <w:tab/>
      </w:r>
      <w:r>
        <w:rPr>
          <w:szCs w:val="32"/>
        </w:rPr>
        <w:t>MANUAL DE CONTABILIDAD GUBERNAMENTAL</w:t>
      </w:r>
    </w:p>
    <w:p w:rsidR="003C7294" w:rsidRPr="003C7294" w:rsidRDefault="003C7294" w:rsidP="003C7294">
      <w:pPr>
        <w:rPr>
          <w:lang w:val="es-MX" w:eastAsia="es-MX"/>
        </w:rPr>
      </w:pPr>
    </w:p>
    <w:p w:rsidR="00CA3BE6" w:rsidRDefault="00CA3BE6" w:rsidP="00CA3BE6">
      <w:pPr>
        <w:rPr>
          <w:lang w:val="es-MX" w:eastAsia="es-MX"/>
        </w:rPr>
      </w:pPr>
    </w:p>
    <w:p w:rsidR="00CA3BE6" w:rsidRPr="006A01C9" w:rsidRDefault="00CA3BE6" w:rsidP="00CA3BE6">
      <w:pPr>
        <w:ind w:left="360"/>
        <w:jc w:val="both"/>
        <w:rPr>
          <w:rFonts w:ascii="Times New Roman" w:hAnsi="Times New Roman"/>
          <w:sz w:val="28"/>
          <w:szCs w:val="28"/>
          <w:lang w:val="es-MX"/>
        </w:rPr>
      </w:pPr>
      <w:r w:rsidRPr="006A01C9">
        <w:rPr>
          <w:rFonts w:ascii="Times New Roman" w:hAnsi="Times New Roman"/>
          <w:sz w:val="28"/>
          <w:szCs w:val="28"/>
          <w:lang w:val="es-MX"/>
        </w:rPr>
        <w:t>De acuerdo con lo establecido en la Ley de Contabilidad, el Manual de Contabilidad está integrado por los documentos conceptuales, metodológicos y operativos que contienen su finalidad, el marco jurídico, los lineamientos técnicos, el catálogo de cuentas y la estructura básica de los principales estados financieros generados por el sistema.</w:t>
      </w:r>
    </w:p>
    <w:p w:rsidR="00CA3BE6" w:rsidRDefault="00CA3BE6" w:rsidP="00CA3BE6">
      <w:pPr>
        <w:ind w:left="360"/>
        <w:jc w:val="both"/>
        <w:rPr>
          <w:rFonts w:ascii="Times New Roman" w:hAnsi="Times New Roman"/>
          <w:sz w:val="28"/>
          <w:szCs w:val="28"/>
          <w:lang w:val="es-MX"/>
        </w:rPr>
      </w:pPr>
    </w:p>
    <w:p w:rsidR="003C7294" w:rsidRDefault="003C7294" w:rsidP="00CA3BE6">
      <w:pPr>
        <w:ind w:left="360"/>
        <w:jc w:val="both"/>
        <w:rPr>
          <w:rFonts w:ascii="Times New Roman" w:hAnsi="Times New Roman"/>
          <w:sz w:val="28"/>
          <w:szCs w:val="28"/>
          <w:lang w:val="es-MX"/>
        </w:rPr>
      </w:pPr>
    </w:p>
    <w:p w:rsidR="003C7294" w:rsidRDefault="003C7294" w:rsidP="00CA3BE6">
      <w:pPr>
        <w:ind w:left="360"/>
        <w:jc w:val="both"/>
        <w:rPr>
          <w:rFonts w:ascii="Times New Roman" w:hAnsi="Times New Roman"/>
          <w:sz w:val="28"/>
          <w:szCs w:val="28"/>
          <w:lang w:val="es-MX"/>
        </w:rPr>
      </w:pPr>
    </w:p>
    <w:p w:rsidR="003C7294" w:rsidRDefault="003C7294" w:rsidP="00CA3BE6">
      <w:pPr>
        <w:ind w:left="360"/>
        <w:jc w:val="both"/>
        <w:rPr>
          <w:rFonts w:ascii="Times New Roman" w:hAnsi="Times New Roman"/>
          <w:sz w:val="28"/>
          <w:szCs w:val="28"/>
          <w:lang w:val="es-MX"/>
        </w:rPr>
      </w:pPr>
    </w:p>
    <w:p w:rsidR="003C7294" w:rsidRDefault="003C7294" w:rsidP="00CA3BE6">
      <w:pPr>
        <w:ind w:left="360"/>
        <w:jc w:val="both"/>
        <w:rPr>
          <w:rFonts w:ascii="Times New Roman" w:hAnsi="Times New Roman"/>
          <w:sz w:val="28"/>
          <w:szCs w:val="28"/>
          <w:lang w:val="es-MX"/>
        </w:rPr>
      </w:pPr>
      <w:r w:rsidRPr="001B0C91">
        <w:rPr>
          <w:rFonts w:ascii="Times New Roman" w:hAnsi="Times New Roman"/>
          <w:sz w:val="22"/>
          <w:szCs w:val="22"/>
          <w:lang w:val="es-MX" w:eastAsia="es-MX"/>
        </w:rPr>
        <w:object w:dxaOrig="5754" w:dyaOrig="4323">
          <v:shape id="_x0000_i1054" type="#_x0000_t75" style="width:444.75pt;height:278.25pt" o:ole="" o:bordertopcolor="this" o:borderleftcolor="this" o:borderbottomcolor="this" o:borderrightcolor="this">
            <v:imagedata r:id="rId66" o:title=""/>
            <w10:bordertop type="triple" width="4"/>
            <w10:borderleft type="triple" width="4"/>
            <w10:borderbottom type="triple" width="4"/>
            <w10:borderright type="triple" width="4"/>
          </v:shape>
          <o:OLEObject Type="Embed" ProgID="PowerPoint.Slide.12" ShapeID="_x0000_i1054" DrawAspect="Content" ObjectID="_1406475763" r:id="rId67"/>
        </w:object>
      </w:r>
    </w:p>
    <w:p w:rsidR="003C7294" w:rsidRDefault="003C7294" w:rsidP="00CA3BE6">
      <w:pPr>
        <w:ind w:left="360"/>
        <w:jc w:val="both"/>
        <w:rPr>
          <w:rFonts w:ascii="Times New Roman" w:hAnsi="Times New Roman"/>
          <w:sz w:val="28"/>
          <w:szCs w:val="28"/>
          <w:lang w:val="es-MX"/>
        </w:rPr>
      </w:pPr>
    </w:p>
    <w:p w:rsidR="003C7294" w:rsidRDefault="003C7294" w:rsidP="00CA3BE6">
      <w:pPr>
        <w:ind w:left="360"/>
        <w:jc w:val="both"/>
        <w:rPr>
          <w:rFonts w:ascii="Times New Roman" w:hAnsi="Times New Roman"/>
          <w:sz w:val="28"/>
          <w:szCs w:val="28"/>
          <w:lang w:val="es-MX"/>
        </w:rPr>
      </w:pPr>
      <w:r w:rsidRPr="001B0C91">
        <w:rPr>
          <w:rFonts w:ascii="Times New Roman" w:hAnsi="Times New Roman"/>
          <w:sz w:val="22"/>
          <w:szCs w:val="22"/>
          <w:lang w:val="es-MX" w:eastAsia="es-MX"/>
        </w:rPr>
        <w:object w:dxaOrig="7191" w:dyaOrig="5402">
          <v:shape id="_x0000_i1055" type="#_x0000_t75" style="width:472.5pt;height:270pt" o:ole="" o:bordertopcolor="this" o:borderleftcolor="this" o:borderbottomcolor="this" o:borderrightcolor="this">
            <v:imagedata r:id="rId68" o:title=""/>
            <w10:bordertop type="triple" width="4"/>
            <w10:borderleft type="triple" width="4"/>
            <w10:borderbottom type="triple" width="4"/>
            <w10:borderright type="triple" width="4"/>
          </v:shape>
          <o:OLEObject Type="Embed" ProgID="PowerPoint.Show.12" ShapeID="_x0000_i1055" DrawAspect="Content" ObjectID="_1406475764" r:id="rId69"/>
        </w:object>
      </w:r>
    </w:p>
    <w:p w:rsidR="003C7294" w:rsidRPr="006A01C9" w:rsidRDefault="003C7294" w:rsidP="00CA3BE6">
      <w:pPr>
        <w:ind w:left="360"/>
        <w:jc w:val="both"/>
        <w:rPr>
          <w:rFonts w:ascii="Times New Roman" w:hAnsi="Times New Roman"/>
          <w:sz w:val="28"/>
          <w:szCs w:val="28"/>
          <w:lang w:val="es-MX"/>
        </w:rPr>
      </w:pPr>
    </w:p>
    <w:p w:rsidR="00CA3BE6" w:rsidRPr="00B108E5" w:rsidRDefault="00CA3BE6" w:rsidP="00CA3BE6">
      <w:pPr>
        <w:ind w:left="360"/>
        <w:jc w:val="both"/>
        <w:rPr>
          <w:rFonts w:ascii="Times New Roman" w:hAnsi="Times New Roman"/>
          <w:lang w:val="es-MX"/>
        </w:rPr>
      </w:pPr>
      <w:r w:rsidRPr="00B108E5">
        <w:rPr>
          <w:rFonts w:ascii="Times New Roman" w:hAnsi="Times New Roman"/>
          <w:lang w:val="es-MX"/>
        </w:rPr>
        <w:t xml:space="preserve">      El </w:t>
      </w:r>
      <w:r w:rsidRPr="00B108E5">
        <w:rPr>
          <w:rFonts w:ascii="Times New Roman" w:hAnsi="Times New Roman"/>
          <w:b/>
          <w:lang w:val="es-MX"/>
        </w:rPr>
        <w:t>Catálogo de Cuentas</w:t>
      </w:r>
      <w:r w:rsidRPr="00B108E5">
        <w:rPr>
          <w:rFonts w:ascii="Times New Roman" w:hAnsi="Times New Roman"/>
          <w:lang w:val="es-MX"/>
        </w:rPr>
        <w:t xml:space="preserve"> como parte constitutiva del Manual, es definido por la Ley de Contabilidad como “el documento técnico integrado por la lista de cuentas, los instructivos de manejo de cuentas y las guías contabilizadoras”.</w:t>
      </w:r>
    </w:p>
    <w:p w:rsidR="00CA3BE6" w:rsidRPr="00B108E5" w:rsidRDefault="00CA3BE6" w:rsidP="00CA3BE6">
      <w:pPr>
        <w:ind w:left="360"/>
        <w:jc w:val="both"/>
        <w:rPr>
          <w:rFonts w:ascii="Times New Roman" w:hAnsi="Times New Roman"/>
          <w:lang w:val="es-MX"/>
        </w:rPr>
      </w:pPr>
    </w:p>
    <w:p w:rsidR="00CA3BE6" w:rsidRPr="00B108E5" w:rsidRDefault="00CA3BE6" w:rsidP="00CA3BE6">
      <w:pPr>
        <w:ind w:left="360"/>
        <w:jc w:val="both"/>
        <w:rPr>
          <w:rFonts w:ascii="Times New Roman" w:hAnsi="Times New Roman"/>
          <w:lang w:val="es-MX"/>
        </w:rPr>
      </w:pPr>
      <w:r w:rsidRPr="00B108E5">
        <w:rPr>
          <w:rFonts w:ascii="Times New Roman" w:hAnsi="Times New Roman"/>
          <w:lang w:val="es-MX"/>
        </w:rPr>
        <w:t xml:space="preserve">     Por su parte, los </w:t>
      </w:r>
      <w:r w:rsidRPr="00B108E5">
        <w:rPr>
          <w:rFonts w:ascii="Times New Roman" w:hAnsi="Times New Roman"/>
          <w:b/>
          <w:lang w:val="es-MX"/>
        </w:rPr>
        <w:t>“Instructivos de manejo de cuentas”</w:t>
      </w:r>
      <w:r w:rsidRPr="00B108E5">
        <w:rPr>
          <w:rFonts w:ascii="Times New Roman" w:hAnsi="Times New Roman"/>
          <w:lang w:val="es-MX"/>
        </w:rPr>
        <w:t xml:space="preserve"> indican la clasificación y naturaleza, y las causas por las cuales se pueden cargar o abonar cada una de las cuentas identificadas en el catálogo, las cuentas que operan contra las mismas en el sistema por partida doble e indica cómo interpretar el saldo de aquellas.</w:t>
      </w:r>
    </w:p>
    <w:p w:rsidR="00CA3BE6" w:rsidRPr="00B108E5" w:rsidRDefault="00CA3BE6" w:rsidP="00CA3BE6">
      <w:pPr>
        <w:ind w:left="360"/>
        <w:jc w:val="both"/>
        <w:rPr>
          <w:rFonts w:ascii="Times New Roman" w:hAnsi="Times New Roman"/>
          <w:lang w:val="es-MX"/>
        </w:rPr>
      </w:pPr>
    </w:p>
    <w:p w:rsidR="00CA3BE6" w:rsidRPr="00B108E5" w:rsidRDefault="00CA3BE6" w:rsidP="00CA3BE6">
      <w:pPr>
        <w:jc w:val="both"/>
        <w:rPr>
          <w:rFonts w:ascii="Times New Roman" w:hAnsi="Times New Roman"/>
          <w:sz w:val="26"/>
          <w:szCs w:val="26"/>
          <w:lang w:val="es-MX"/>
        </w:rPr>
      </w:pPr>
      <w:r w:rsidRPr="00B108E5">
        <w:rPr>
          <w:rFonts w:ascii="Times New Roman" w:hAnsi="Times New Roman"/>
          <w:lang w:val="es-MX"/>
        </w:rPr>
        <w:t xml:space="preserve">          Las </w:t>
      </w:r>
      <w:r w:rsidRPr="00B108E5">
        <w:rPr>
          <w:rFonts w:ascii="Times New Roman" w:hAnsi="Times New Roman"/>
          <w:b/>
          <w:lang w:val="es-MX"/>
        </w:rPr>
        <w:t>“Guías Contabilizadoras”,</w:t>
      </w:r>
      <w:r w:rsidRPr="00B108E5">
        <w:rPr>
          <w:rFonts w:ascii="Times New Roman" w:hAnsi="Times New Roman"/>
          <w:lang w:val="es-MX"/>
        </w:rPr>
        <w:t xml:space="preserve"> muestran los momentos de registro contable de cada uno de los procesos administrativo/financieros de la Universidad y los asientos que se generan a partir de aquéllos, indica además, para cada uno de ellos, el documento soporte de los mismos. Igualmente, la Guías Contabilizadoras permiten mantener actualizado el Manual mediante la aprobación de las mismas, ante el surgimiento de operaciones no previstas o la realización</w:t>
      </w:r>
      <w:r w:rsidRPr="006A01C9">
        <w:rPr>
          <w:rFonts w:ascii="Times New Roman" w:hAnsi="Times New Roman"/>
          <w:sz w:val="28"/>
          <w:szCs w:val="28"/>
          <w:lang w:val="es-MX"/>
        </w:rPr>
        <w:t xml:space="preserve"> de </w:t>
      </w:r>
      <w:r w:rsidRPr="00B108E5">
        <w:rPr>
          <w:rFonts w:ascii="Times New Roman" w:hAnsi="Times New Roman"/>
          <w:sz w:val="26"/>
          <w:szCs w:val="26"/>
          <w:lang w:val="es-MX"/>
        </w:rPr>
        <w:t xml:space="preserve">cambios normativos posteriores que impacten en los registros. </w:t>
      </w:r>
    </w:p>
    <w:p w:rsidR="003C7294" w:rsidRPr="00B108E5" w:rsidRDefault="003C7294" w:rsidP="00CA3BE6">
      <w:pPr>
        <w:jc w:val="both"/>
        <w:rPr>
          <w:rFonts w:ascii="Times New Roman" w:hAnsi="Times New Roman"/>
          <w:sz w:val="26"/>
          <w:szCs w:val="26"/>
          <w:lang w:val="es-MX"/>
        </w:rPr>
      </w:pPr>
    </w:p>
    <w:p w:rsidR="00CA3BE6" w:rsidRPr="00B108E5" w:rsidRDefault="00CA3BE6" w:rsidP="00CA3BE6">
      <w:pPr>
        <w:jc w:val="both"/>
        <w:rPr>
          <w:rFonts w:ascii="Times New Roman" w:hAnsi="Times New Roman"/>
          <w:sz w:val="26"/>
          <w:szCs w:val="26"/>
          <w:lang w:val="es-MX"/>
        </w:rPr>
      </w:pPr>
    </w:p>
    <w:p w:rsidR="00CA3BE6" w:rsidRPr="00B108E5" w:rsidRDefault="00CA3BE6" w:rsidP="00CA3BE6">
      <w:pPr>
        <w:jc w:val="both"/>
        <w:rPr>
          <w:rFonts w:ascii="Times New Roman" w:hAnsi="Times New Roman"/>
          <w:b/>
          <w:sz w:val="26"/>
          <w:szCs w:val="26"/>
          <w:lang w:val="es-MX"/>
        </w:rPr>
      </w:pPr>
      <w:r w:rsidRPr="00B108E5">
        <w:rPr>
          <w:rFonts w:ascii="Times New Roman" w:hAnsi="Times New Roman"/>
          <w:b/>
          <w:sz w:val="26"/>
          <w:szCs w:val="26"/>
          <w:lang w:val="es-MX"/>
        </w:rPr>
        <w:t>Estados financieros básicos a generar por el sistema y estructura de los mismos</w:t>
      </w:r>
    </w:p>
    <w:p w:rsidR="00CA3BE6" w:rsidRPr="00B108E5" w:rsidRDefault="00CA3BE6" w:rsidP="00CA3BE6">
      <w:pPr>
        <w:jc w:val="both"/>
        <w:rPr>
          <w:rFonts w:ascii="Times New Roman" w:hAnsi="Times New Roman"/>
          <w:sz w:val="26"/>
          <w:szCs w:val="26"/>
          <w:lang w:val="es-MX"/>
        </w:rPr>
      </w:pPr>
      <w:r w:rsidRPr="00B108E5">
        <w:rPr>
          <w:rFonts w:ascii="Times New Roman" w:hAnsi="Times New Roman"/>
          <w:sz w:val="26"/>
          <w:szCs w:val="26"/>
          <w:lang w:val="es-MX"/>
        </w:rPr>
        <w:t xml:space="preserve">       </w:t>
      </w:r>
      <w:r w:rsidR="006A01C9" w:rsidRPr="00B108E5">
        <w:rPr>
          <w:rFonts w:ascii="Times New Roman" w:hAnsi="Times New Roman"/>
          <w:sz w:val="26"/>
          <w:szCs w:val="26"/>
          <w:lang w:val="es-MX"/>
        </w:rPr>
        <w:t xml:space="preserve">  </w:t>
      </w:r>
      <w:r w:rsidRPr="00B108E5">
        <w:rPr>
          <w:rFonts w:ascii="Times New Roman" w:hAnsi="Times New Roman"/>
          <w:sz w:val="26"/>
          <w:szCs w:val="26"/>
          <w:lang w:val="es-MX"/>
        </w:rPr>
        <w:t xml:space="preserve"> Este apartado se integra por tres componentes:</w:t>
      </w:r>
    </w:p>
    <w:p w:rsidR="00CA3BE6" w:rsidRPr="00B108E5" w:rsidRDefault="00CA3BE6" w:rsidP="00CA3BE6">
      <w:pPr>
        <w:jc w:val="both"/>
        <w:rPr>
          <w:rFonts w:ascii="Times New Roman" w:hAnsi="Times New Roman"/>
          <w:sz w:val="26"/>
          <w:szCs w:val="26"/>
          <w:lang w:val="es-MX"/>
        </w:rPr>
      </w:pPr>
      <w:r w:rsidRPr="00B108E5">
        <w:rPr>
          <w:rFonts w:ascii="Times New Roman" w:hAnsi="Times New Roman"/>
          <w:sz w:val="26"/>
          <w:szCs w:val="26"/>
          <w:lang w:val="es-MX"/>
        </w:rPr>
        <w:t xml:space="preserve">          Cualidades de la información financiera a generar por el SCG.</w:t>
      </w:r>
    </w:p>
    <w:p w:rsidR="00CA3BE6" w:rsidRPr="00B108E5" w:rsidRDefault="00CA3BE6" w:rsidP="00CA3BE6">
      <w:pPr>
        <w:jc w:val="both"/>
        <w:rPr>
          <w:rFonts w:ascii="Times New Roman" w:hAnsi="Times New Roman"/>
          <w:sz w:val="26"/>
          <w:szCs w:val="26"/>
          <w:lang w:val="es-MX"/>
        </w:rPr>
      </w:pPr>
      <w:r w:rsidRPr="00B108E5">
        <w:rPr>
          <w:rFonts w:ascii="Times New Roman" w:hAnsi="Times New Roman"/>
          <w:sz w:val="26"/>
          <w:szCs w:val="26"/>
          <w:lang w:val="es-MX"/>
        </w:rPr>
        <w:t xml:space="preserve">          Estados e información financiera a generar por </w:t>
      </w:r>
      <w:r w:rsidR="006A01C9" w:rsidRPr="00B108E5">
        <w:rPr>
          <w:rFonts w:ascii="Times New Roman" w:hAnsi="Times New Roman"/>
          <w:sz w:val="26"/>
          <w:szCs w:val="26"/>
          <w:lang w:val="es-MX"/>
        </w:rPr>
        <w:t>el ente</w:t>
      </w:r>
    </w:p>
    <w:p w:rsidR="00CA3BE6" w:rsidRPr="00B108E5" w:rsidRDefault="00CA3BE6" w:rsidP="006A01C9">
      <w:pPr>
        <w:jc w:val="both"/>
        <w:rPr>
          <w:sz w:val="26"/>
          <w:szCs w:val="26"/>
          <w:lang w:val="es-MX" w:eastAsia="es-MX"/>
        </w:rPr>
      </w:pPr>
      <w:r w:rsidRPr="00B108E5">
        <w:rPr>
          <w:rFonts w:ascii="Times New Roman" w:hAnsi="Times New Roman"/>
          <w:sz w:val="26"/>
          <w:szCs w:val="26"/>
          <w:lang w:val="es-MX"/>
        </w:rPr>
        <w:t xml:space="preserve">          Estructura básica de los principales estados financieros a generar</w:t>
      </w:r>
      <w:r w:rsidR="006A01C9" w:rsidRPr="00B108E5">
        <w:rPr>
          <w:rFonts w:ascii="Times New Roman" w:hAnsi="Times New Roman"/>
          <w:sz w:val="26"/>
          <w:szCs w:val="26"/>
          <w:lang w:val="es-MX"/>
        </w:rPr>
        <w:t>.</w:t>
      </w:r>
      <w:r w:rsidRPr="00B108E5">
        <w:rPr>
          <w:rFonts w:ascii="Times New Roman" w:hAnsi="Times New Roman"/>
          <w:sz w:val="26"/>
          <w:szCs w:val="26"/>
          <w:lang w:val="es-MX"/>
        </w:rPr>
        <w:t xml:space="preserve"> </w:t>
      </w:r>
    </w:p>
    <w:p w:rsidR="00F8019A" w:rsidRPr="0047612E" w:rsidRDefault="00B108E5" w:rsidP="00F8019A">
      <w:pPr>
        <w:spacing w:line="276" w:lineRule="auto"/>
        <w:rPr>
          <w:rFonts w:cs="Calibri"/>
          <w:sz w:val="32"/>
          <w:szCs w:val="32"/>
          <w:lang w:val="es-MX" w:eastAsia="es-MX"/>
        </w:rPr>
      </w:pPr>
      <w:r w:rsidRPr="00B108E5">
        <w:rPr>
          <w:rFonts w:ascii="Times New Roman" w:hAnsi="Times New Roman"/>
          <w:sz w:val="22"/>
          <w:szCs w:val="22"/>
          <w:lang w:val="es-MX" w:eastAsia="es-MX"/>
        </w:rPr>
        <w:object w:dxaOrig="7176" w:dyaOrig="5391">
          <v:shape id="_x0000_i1056" type="#_x0000_t75" style="width:484.5pt;height:186.75pt" o:ole="">
            <v:imagedata r:id="rId70" o:title=""/>
          </v:shape>
          <o:OLEObject Type="Embed" ProgID="PowerPoint.Slide.12" ShapeID="_x0000_i1056" DrawAspect="Content" ObjectID="_1406475765" r:id="rId71"/>
        </w:object>
      </w:r>
    </w:p>
    <w:p w:rsidR="00B108E5" w:rsidRDefault="00AE6480" w:rsidP="00CB0E8E">
      <w:pPr>
        <w:jc w:val="both"/>
        <w:rPr>
          <w:rFonts w:cs="Calibri"/>
          <w:sz w:val="32"/>
          <w:szCs w:val="32"/>
          <w:lang w:val="es-MX" w:eastAsia="es-MX"/>
        </w:rPr>
      </w:pPr>
      <w:r w:rsidRPr="0047612E">
        <w:rPr>
          <w:rFonts w:cs="Calibri"/>
          <w:sz w:val="32"/>
          <w:szCs w:val="32"/>
          <w:lang w:val="es-MX" w:eastAsia="es-MX"/>
        </w:rPr>
        <w:t xml:space="preserve"> </w:t>
      </w:r>
    </w:p>
    <w:p w:rsidR="00B108E5" w:rsidRDefault="00B108E5" w:rsidP="00CB0E8E">
      <w:pPr>
        <w:jc w:val="both"/>
        <w:rPr>
          <w:rFonts w:cs="Calibri"/>
          <w:sz w:val="32"/>
          <w:szCs w:val="32"/>
          <w:lang w:val="es-MX" w:eastAsia="es-MX"/>
        </w:rPr>
      </w:pPr>
    </w:p>
    <w:p w:rsidR="00CA3BE6" w:rsidRDefault="00B108E5" w:rsidP="00CB0E8E">
      <w:pPr>
        <w:jc w:val="both"/>
        <w:rPr>
          <w:rFonts w:cs="Calibri"/>
          <w:sz w:val="32"/>
          <w:szCs w:val="32"/>
          <w:lang w:val="es-MX" w:eastAsia="es-MX"/>
        </w:rPr>
      </w:pPr>
      <w:r w:rsidRPr="001B0C91">
        <w:rPr>
          <w:rFonts w:ascii="Times New Roman" w:hAnsi="Times New Roman"/>
          <w:sz w:val="22"/>
          <w:szCs w:val="22"/>
          <w:lang w:val="es-MX" w:eastAsia="es-MX"/>
        </w:rPr>
        <w:object w:dxaOrig="5495" w:dyaOrig="4126">
          <v:shape id="_x0000_i1057" type="#_x0000_t75" style="width:473.25pt;height:336.75pt" o:ole="" o:bordertopcolor="this" o:borderleftcolor="this" o:borderbottomcolor="this" o:borderrightcolor="this">
            <v:imagedata r:id="rId72" o:title=""/>
            <w10:bordertop type="triple" width="4"/>
            <w10:borderleft type="triple" width="4"/>
            <w10:borderbottom type="triple" width="4"/>
            <w10:borderright type="triple" width="4"/>
          </v:shape>
          <o:OLEObject Type="Embed" ProgID="PowerPoint.Slide.12" ShapeID="_x0000_i1057" DrawAspect="Content" ObjectID="_1406475766" r:id="rId73"/>
        </w:object>
      </w:r>
    </w:p>
    <w:p w:rsidR="00CA3BE6" w:rsidRDefault="00CA3BE6" w:rsidP="00CB0E8E">
      <w:pPr>
        <w:jc w:val="both"/>
        <w:rPr>
          <w:rFonts w:cs="Calibri"/>
          <w:sz w:val="32"/>
          <w:szCs w:val="32"/>
          <w:lang w:val="es-MX" w:eastAsia="es-MX"/>
        </w:rPr>
      </w:pPr>
    </w:p>
    <w:p w:rsidR="00CA3BE6" w:rsidRDefault="00CA3BE6" w:rsidP="00CB0E8E">
      <w:pPr>
        <w:jc w:val="both"/>
        <w:rPr>
          <w:rFonts w:cs="Calibri"/>
          <w:sz w:val="32"/>
          <w:szCs w:val="32"/>
          <w:lang w:val="es-MX" w:eastAsia="es-MX"/>
        </w:rPr>
      </w:pPr>
    </w:p>
    <w:p w:rsidR="00CA3BE6" w:rsidRDefault="00C63582" w:rsidP="00CB0E8E">
      <w:pPr>
        <w:jc w:val="both"/>
        <w:rPr>
          <w:rFonts w:cs="Calibri"/>
          <w:sz w:val="32"/>
          <w:szCs w:val="32"/>
          <w:lang w:val="es-MX" w:eastAsia="es-MX"/>
        </w:rPr>
      </w:pPr>
      <w:r w:rsidRPr="001B0C91">
        <w:rPr>
          <w:rFonts w:ascii="Times New Roman" w:hAnsi="Times New Roman"/>
          <w:sz w:val="22"/>
          <w:szCs w:val="22"/>
          <w:lang w:val="es-MX" w:eastAsia="es-MX"/>
        </w:rPr>
        <w:object w:dxaOrig="7190" w:dyaOrig="5401">
          <v:shape id="_x0000_i1058" type="#_x0000_t75" style="width:471.75pt;height:299.25pt" o:ole="" o:bordertopcolor="this" o:borderleftcolor="this" o:borderbottomcolor="this" o:borderrightcolor="this">
            <v:imagedata r:id="rId74" o:title=""/>
            <w10:bordertop type="triple" width="4"/>
            <w10:borderleft type="triple" width="4"/>
            <w10:borderbottom type="triple" width="4"/>
            <w10:borderright type="triple" width="4"/>
          </v:shape>
          <o:OLEObject Type="Embed" ProgID="PowerPoint.Slide.12" ShapeID="_x0000_i1058" DrawAspect="Content" ObjectID="_1406475767" r:id="rId75"/>
        </w:object>
      </w:r>
    </w:p>
    <w:p w:rsidR="00CA3BE6" w:rsidRDefault="00182CEE" w:rsidP="00CB0E8E">
      <w:pPr>
        <w:jc w:val="both"/>
        <w:rPr>
          <w:rFonts w:cs="Calibri"/>
          <w:sz w:val="32"/>
          <w:szCs w:val="32"/>
          <w:lang w:val="es-MX" w:eastAsia="es-MX"/>
        </w:rPr>
      </w:pPr>
      <w:r w:rsidRPr="00C63582">
        <w:rPr>
          <w:rFonts w:cs="Calibri"/>
          <w:sz w:val="32"/>
          <w:szCs w:val="32"/>
          <w:lang w:val="es-MX" w:eastAsia="es-MX"/>
        </w:rPr>
        <w:object w:dxaOrig="7176" w:dyaOrig="5391">
          <v:shape id="_x0000_i1059" type="#_x0000_t75" style="width:466.5pt;height:269.25pt" o:ole="">
            <v:imagedata r:id="rId76" o:title=""/>
          </v:shape>
          <o:OLEObject Type="Embed" ProgID="PowerPoint.Slide.12" ShapeID="_x0000_i1059" DrawAspect="Content" ObjectID="_1406475768" r:id="rId77"/>
        </w:object>
      </w:r>
    </w:p>
    <w:p w:rsidR="00F3262A" w:rsidRDefault="00F3262A" w:rsidP="00F3262A">
      <w:pPr>
        <w:jc w:val="both"/>
        <w:rPr>
          <w:rFonts w:ascii="Times New Roman" w:hAnsi="Times New Roman"/>
          <w:b/>
          <w:sz w:val="28"/>
          <w:szCs w:val="28"/>
          <w:lang w:val="es-MX"/>
        </w:rPr>
      </w:pPr>
    </w:p>
    <w:p w:rsidR="00F3262A" w:rsidRDefault="00F3262A" w:rsidP="00F3262A">
      <w:pPr>
        <w:jc w:val="both"/>
        <w:rPr>
          <w:rFonts w:ascii="Times New Roman" w:hAnsi="Times New Roman"/>
          <w:b/>
          <w:sz w:val="28"/>
          <w:szCs w:val="28"/>
          <w:lang w:val="es-MX"/>
        </w:rPr>
      </w:pPr>
      <w:r w:rsidRPr="00182CEE">
        <w:rPr>
          <w:rFonts w:ascii="Times New Roman" w:hAnsi="Times New Roman"/>
          <w:b/>
          <w:sz w:val="28"/>
          <w:szCs w:val="28"/>
          <w:lang w:val="es-MX"/>
        </w:rPr>
        <w:lastRenderedPageBreak/>
        <w:t xml:space="preserve">Cualidades de la información financiera a generar por el SCG </w:t>
      </w:r>
    </w:p>
    <w:p w:rsidR="00F3262A" w:rsidRPr="00182CEE" w:rsidRDefault="00F3262A" w:rsidP="00F3262A">
      <w:pPr>
        <w:jc w:val="both"/>
        <w:rPr>
          <w:rFonts w:ascii="Times New Roman" w:hAnsi="Times New Roman"/>
          <w:b/>
          <w:sz w:val="28"/>
          <w:szCs w:val="28"/>
          <w:lang w:val="es-MX"/>
        </w:rPr>
      </w:pPr>
    </w:p>
    <w:p w:rsidR="00F3262A" w:rsidRDefault="00F3262A" w:rsidP="00F3262A">
      <w:pPr>
        <w:jc w:val="both"/>
        <w:rPr>
          <w:rFonts w:ascii="Times New Roman" w:hAnsi="Times New Roman"/>
          <w:sz w:val="28"/>
          <w:szCs w:val="28"/>
          <w:lang w:val="es-MX"/>
        </w:rPr>
      </w:pPr>
      <w:r w:rsidRPr="00182CEE">
        <w:rPr>
          <w:rFonts w:ascii="Times New Roman" w:hAnsi="Times New Roman"/>
          <w:sz w:val="28"/>
          <w:szCs w:val="28"/>
          <w:lang w:val="es-MX"/>
        </w:rPr>
        <w:t xml:space="preserve">        Las características cualitativas son los atributos y requisitos indispensables que debe reunir la información presupuestaria, contable y económica en el ámbito gubernamental. De esta forma, establecen una guía para seleccionar los métodos contables, determinar la información a revelar en dichos estados, cumplir los objetivos de proporcionar información útil para sustentar la toma de decisiones; así como facilitar el seguimiento, control, evaluación, rendición de cuentas y fiscalización de los recursos públicos por parte de los órganos facultados por ley para efectuar dichas tareas.</w:t>
      </w:r>
    </w:p>
    <w:p w:rsidR="00F3262A" w:rsidRPr="00182CEE" w:rsidRDefault="00F3262A" w:rsidP="00F3262A">
      <w:pPr>
        <w:jc w:val="both"/>
        <w:rPr>
          <w:rFonts w:ascii="Times New Roman" w:hAnsi="Times New Roman"/>
          <w:sz w:val="28"/>
          <w:szCs w:val="28"/>
          <w:lang w:val="es-MX"/>
        </w:rPr>
      </w:pPr>
    </w:p>
    <w:p w:rsidR="00F3262A" w:rsidRDefault="00F3262A" w:rsidP="00F3262A">
      <w:pPr>
        <w:jc w:val="both"/>
        <w:rPr>
          <w:rFonts w:ascii="Times New Roman" w:hAnsi="Times New Roman"/>
          <w:sz w:val="28"/>
          <w:szCs w:val="28"/>
          <w:lang w:val="es-MX"/>
        </w:rPr>
      </w:pPr>
      <w:r w:rsidRPr="00182CEE">
        <w:rPr>
          <w:rFonts w:ascii="Times New Roman" w:hAnsi="Times New Roman"/>
          <w:sz w:val="28"/>
          <w:szCs w:val="28"/>
          <w:lang w:val="es-MX"/>
        </w:rPr>
        <w:t xml:space="preserve">       La Contabilidad Gubernamental es, ante todo, </w:t>
      </w:r>
      <w:r w:rsidRPr="00182CEE">
        <w:rPr>
          <w:rFonts w:ascii="Times New Roman" w:hAnsi="Times New Roman"/>
          <w:b/>
          <w:i/>
          <w:color w:val="943634" w:themeColor="accent2" w:themeShade="BF"/>
          <w:sz w:val="28"/>
          <w:szCs w:val="28"/>
          <w:lang w:val="es-MX"/>
        </w:rPr>
        <w:t>un sistema de registro que procesa eventos presupuestarios, contables y económicos de los entes públicos</w:t>
      </w:r>
      <w:r w:rsidRPr="00182CEE">
        <w:rPr>
          <w:rFonts w:ascii="Times New Roman" w:hAnsi="Times New Roman"/>
          <w:sz w:val="28"/>
          <w:szCs w:val="28"/>
          <w:lang w:val="es-MX"/>
        </w:rPr>
        <w:t>. En tal sentido, los informes y estados financieros deben elaborarse de acuerdo con las prácticas, métodos, procedimientos, reglas particulares y generales, así como las disposiciones legales, con el propósito de generar información que tenga validez y relevancia en los ámbitos de los entes públicos, que sea confiable y comparable, que responda a las necesidades y requisitos de la rendición de cuentas, y de la fiscalización, y aporte certeza y transparencia a la gestión financiera gubernamental.</w:t>
      </w:r>
    </w:p>
    <w:p w:rsidR="00F3262A" w:rsidRPr="00182CEE" w:rsidRDefault="00F3262A" w:rsidP="00F3262A">
      <w:pPr>
        <w:jc w:val="both"/>
        <w:rPr>
          <w:rFonts w:ascii="Times New Roman" w:hAnsi="Times New Roman"/>
          <w:sz w:val="28"/>
          <w:szCs w:val="28"/>
          <w:lang w:val="es-MX"/>
        </w:rPr>
      </w:pPr>
    </w:p>
    <w:p w:rsidR="00F3262A" w:rsidRDefault="00F3262A" w:rsidP="00F3262A">
      <w:pPr>
        <w:jc w:val="both"/>
        <w:rPr>
          <w:rFonts w:ascii="Times New Roman" w:hAnsi="Times New Roman"/>
          <w:sz w:val="28"/>
          <w:szCs w:val="28"/>
          <w:lang w:val="es-MX"/>
        </w:rPr>
      </w:pPr>
      <w:r w:rsidRPr="00182CEE">
        <w:rPr>
          <w:rFonts w:ascii="Times New Roman" w:hAnsi="Times New Roman"/>
          <w:sz w:val="28"/>
          <w:szCs w:val="28"/>
          <w:lang w:val="es-MX"/>
        </w:rPr>
        <w:t xml:space="preserve">       De acuerdo con lo anterior, los estados e información financiera de esta Universidad incluyen todos los datos que permiten la adecuada interpretación de la situación presupuestaria, contable y económica, de tal modo que reflejan con claridad los resultados alcanzados en el desarrollo de las atribuciones otorgadas jurídicamente a esta Institución.</w:t>
      </w:r>
    </w:p>
    <w:p w:rsidR="00F3262A" w:rsidRPr="00182CEE" w:rsidRDefault="00F3262A" w:rsidP="00F3262A">
      <w:pPr>
        <w:jc w:val="both"/>
        <w:rPr>
          <w:rFonts w:ascii="Times New Roman" w:hAnsi="Times New Roman"/>
          <w:sz w:val="28"/>
          <w:szCs w:val="28"/>
          <w:lang w:val="es-MX"/>
        </w:rPr>
      </w:pPr>
    </w:p>
    <w:p w:rsidR="00F3262A" w:rsidRDefault="00F3262A" w:rsidP="00F3262A">
      <w:pPr>
        <w:jc w:val="both"/>
        <w:rPr>
          <w:rFonts w:ascii="Times New Roman" w:hAnsi="Times New Roman"/>
          <w:sz w:val="28"/>
          <w:szCs w:val="28"/>
          <w:lang w:val="es-MX"/>
        </w:rPr>
      </w:pPr>
      <w:r w:rsidRPr="00182CEE">
        <w:rPr>
          <w:rFonts w:ascii="Times New Roman" w:hAnsi="Times New Roman"/>
          <w:sz w:val="28"/>
          <w:szCs w:val="28"/>
          <w:lang w:val="es-MX"/>
        </w:rPr>
        <w:t xml:space="preserve">      El Artículo 44 de la Ley de Contabilidad, establece que “Los estados financieros y la información emanada de la contabilidad deberá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misma determina.</w:t>
      </w:r>
    </w:p>
    <w:p w:rsidR="00F3262A" w:rsidRPr="00182CEE" w:rsidRDefault="00F3262A" w:rsidP="00F3262A">
      <w:pPr>
        <w:jc w:val="both"/>
        <w:rPr>
          <w:rFonts w:ascii="Times New Roman" w:hAnsi="Times New Roman"/>
          <w:sz w:val="28"/>
          <w:szCs w:val="28"/>
          <w:lang w:val="es-MX"/>
        </w:rPr>
      </w:pPr>
    </w:p>
    <w:p w:rsidR="00CA3BE6" w:rsidRDefault="00F3262A" w:rsidP="00CB0E8E">
      <w:pPr>
        <w:jc w:val="both"/>
        <w:rPr>
          <w:rFonts w:cs="Calibri"/>
          <w:sz w:val="32"/>
          <w:szCs w:val="32"/>
          <w:lang w:val="es-MX" w:eastAsia="es-MX"/>
        </w:rPr>
      </w:pPr>
      <w:r w:rsidRPr="00182CEE">
        <w:rPr>
          <w:rFonts w:ascii="Times New Roman" w:hAnsi="Times New Roman"/>
          <w:sz w:val="28"/>
          <w:szCs w:val="28"/>
          <w:lang w:val="es-MX"/>
        </w:rPr>
        <w:t xml:space="preserve">     Las características cualitativas que la Ley de Contabilidad establece para los estados e información financiera que genera el SCG, son congruentes con lo establecido por el Consejo Mexicano para la Investigación y Desarrollo de Normas de Información Financiera (CINIF) mediante la NIF A-4, referente al mismo tema.</w:t>
      </w:r>
    </w:p>
    <w:p w:rsidR="00CA3BE6" w:rsidRDefault="00182CEE" w:rsidP="00CB0E8E">
      <w:pPr>
        <w:jc w:val="both"/>
        <w:rPr>
          <w:rFonts w:ascii="Times New Roman" w:hAnsi="Times New Roman"/>
          <w:sz w:val="22"/>
          <w:szCs w:val="22"/>
          <w:lang w:val="es-MX" w:eastAsia="es-MX"/>
        </w:rPr>
      </w:pPr>
      <w:r w:rsidRPr="00182CEE">
        <w:rPr>
          <w:rFonts w:ascii="Times New Roman" w:hAnsi="Times New Roman"/>
          <w:sz w:val="22"/>
          <w:szCs w:val="22"/>
          <w:lang w:val="es-MX" w:eastAsia="es-MX"/>
        </w:rPr>
        <w:object w:dxaOrig="7176" w:dyaOrig="5391">
          <v:shape id="_x0000_i1060" type="#_x0000_t75" style="width:475.5pt;height:269.25pt" o:ole="" o:bordertopcolor="this" o:borderleftcolor="this" o:borderbottomcolor="this" o:borderrightcolor="this">
            <v:imagedata r:id="rId78" o:title=""/>
            <w10:bordertop type="triple" width="4"/>
            <w10:borderleft type="triple" width="4"/>
            <w10:borderbottom type="triple" width="4"/>
            <w10:borderright type="triple" width="4"/>
          </v:shape>
          <o:OLEObject Type="Embed" ProgID="PowerPoint.Slide.12" ShapeID="_x0000_i1060" DrawAspect="Content" ObjectID="_1406475769" r:id="rId79"/>
        </w:object>
      </w:r>
    </w:p>
    <w:p w:rsidR="00182CEE" w:rsidRDefault="00182CEE" w:rsidP="00CB0E8E">
      <w:pPr>
        <w:jc w:val="both"/>
        <w:rPr>
          <w:rFonts w:ascii="Times New Roman" w:hAnsi="Times New Roman"/>
          <w:sz w:val="22"/>
          <w:szCs w:val="22"/>
          <w:lang w:val="es-MX" w:eastAsia="es-MX"/>
        </w:rPr>
      </w:pPr>
    </w:p>
    <w:p w:rsidR="00182CEE" w:rsidRDefault="00182CEE" w:rsidP="00CB0E8E">
      <w:pPr>
        <w:jc w:val="both"/>
        <w:rPr>
          <w:rFonts w:cs="Calibri"/>
          <w:sz w:val="32"/>
          <w:szCs w:val="32"/>
          <w:lang w:val="es-MX" w:eastAsia="es-MX"/>
        </w:rPr>
      </w:pPr>
    </w:p>
    <w:p w:rsidR="00CA3BE6" w:rsidRDefault="00182CEE" w:rsidP="00CB0E8E">
      <w:pPr>
        <w:jc w:val="both"/>
        <w:rPr>
          <w:rFonts w:cs="Calibri"/>
          <w:sz w:val="32"/>
          <w:szCs w:val="32"/>
          <w:lang w:val="es-MX" w:eastAsia="es-MX"/>
        </w:rPr>
      </w:pPr>
      <w:r w:rsidRPr="00182CEE">
        <w:rPr>
          <w:rFonts w:ascii="Times New Roman" w:hAnsi="Times New Roman"/>
          <w:sz w:val="22"/>
          <w:szCs w:val="22"/>
          <w:lang w:val="es-MX" w:eastAsia="es-MX"/>
        </w:rPr>
        <w:object w:dxaOrig="7191" w:dyaOrig="5402">
          <v:shape id="_x0000_i1061" type="#_x0000_t75" style="width:478.5pt;height:270pt" o:ole="" o:bordertopcolor="this" o:borderleftcolor="this" o:borderbottomcolor="this" o:borderrightcolor="this">
            <v:imagedata r:id="rId80" o:title=""/>
            <w10:bordertop type="triple" width="4"/>
            <w10:borderleft type="triple" width="4"/>
            <w10:borderbottom type="triple" width="4"/>
            <w10:borderright type="triple" width="4"/>
          </v:shape>
          <o:OLEObject Type="Embed" ProgID="PowerPoint.Slide.12" ShapeID="_x0000_i1061" DrawAspect="Content" ObjectID="_1406475770" r:id="rId81"/>
        </w:object>
      </w:r>
    </w:p>
    <w:p w:rsidR="00182CEE" w:rsidRDefault="00182CEE" w:rsidP="00182CEE">
      <w:pPr>
        <w:jc w:val="both"/>
        <w:rPr>
          <w:rFonts w:ascii="Times New Roman" w:hAnsi="Times New Roman"/>
          <w:b/>
          <w:sz w:val="28"/>
          <w:szCs w:val="28"/>
          <w:lang w:val="es-MX"/>
        </w:rPr>
      </w:pPr>
    </w:p>
    <w:p w:rsidR="00CA3BE6" w:rsidRPr="00182CEE" w:rsidRDefault="00CA3BE6" w:rsidP="00CB0E8E">
      <w:pPr>
        <w:jc w:val="both"/>
        <w:rPr>
          <w:rFonts w:cs="Calibri"/>
          <w:sz w:val="28"/>
          <w:szCs w:val="28"/>
          <w:lang w:val="es-MX" w:eastAsia="es-MX"/>
        </w:rPr>
      </w:pPr>
    </w:p>
    <w:p w:rsidR="00077F38" w:rsidRDefault="00077F38" w:rsidP="00CB0E8E">
      <w:pPr>
        <w:jc w:val="both"/>
        <w:rPr>
          <w:rFonts w:ascii="Arial" w:hAnsi="Arial" w:cs="Arial"/>
          <w:b/>
          <w:sz w:val="32"/>
          <w:szCs w:val="32"/>
          <w:lang w:val="es-MX" w:eastAsia="es-MX"/>
        </w:rPr>
      </w:pPr>
      <w:r w:rsidRPr="00077F38">
        <w:rPr>
          <w:rFonts w:ascii="Arial" w:hAnsi="Arial" w:cs="Arial"/>
          <w:b/>
          <w:sz w:val="32"/>
          <w:szCs w:val="32"/>
          <w:lang w:val="es-MX" w:eastAsia="es-MX"/>
        </w:rPr>
        <w:t>3.1  F</w:t>
      </w:r>
      <w:r>
        <w:rPr>
          <w:rFonts w:ascii="Arial" w:hAnsi="Arial" w:cs="Arial"/>
          <w:b/>
          <w:sz w:val="32"/>
          <w:szCs w:val="32"/>
          <w:lang w:val="es-MX" w:eastAsia="es-MX"/>
        </w:rPr>
        <w:t xml:space="preserve"> </w:t>
      </w:r>
      <w:r w:rsidRPr="00077F38">
        <w:rPr>
          <w:rFonts w:ascii="Arial" w:hAnsi="Arial" w:cs="Arial"/>
          <w:b/>
          <w:sz w:val="32"/>
          <w:szCs w:val="32"/>
          <w:lang w:val="es-MX" w:eastAsia="es-MX"/>
        </w:rPr>
        <w:t>U</w:t>
      </w:r>
      <w:r>
        <w:rPr>
          <w:rFonts w:ascii="Arial" w:hAnsi="Arial" w:cs="Arial"/>
          <w:b/>
          <w:sz w:val="32"/>
          <w:szCs w:val="32"/>
          <w:lang w:val="es-MX" w:eastAsia="es-MX"/>
        </w:rPr>
        <w:t xml:space="preserve"> </w:t>
      </w:r>
      <w:r w:rsidRPr="00077F38">
        <w:rPr>
          <w:rFonts w:ascii="Arial" w:hAnsi="Arial" w:cs="Arial"/>
          <w:b/>
          <w:sz w:val="32"/>
          <w:szCs w:val="32"/>
          <w:lang w:val="es-MX" w:eastAsia="es-MX"/>
        </w:rPr>
        <w:t>N</w:t>
      </w:r>
      <w:r>
        <w:rPr>
          <w:rFonts w:ascii="Arial" w:hAnsi="Arial" w:cs="Arial"/>
          <w:b/>
          <w:sz w:val="32"/>
          <w:szCs w:val="32"/>
          <w:lang w:val="es-MX" w:eastAsia="es-MX"/>
        </w:rPr>
        <w:t xml:space="preserve"> </w:t>
      </w:r>
      <w:r w:rsidRPr="00077F38">
        <w:rPr>
          <w:rFonts w:ascii="Arial" w:hAnsi="Arial" w:cs="Arial"/>
          <w:b/>
          <w:sz w:val="32"/>
          <w:szCs w:val="32"/>
          <w:lang w:val="es-MX" w:eastAsia="es-MX"/>
        </w:rPr>
        <w:t>D</w:t>
      </w:r>
      <w:r>
        <w:rPr>
          <w:rFonts w:ascii="Arial" w:hAnsi="Arial" w:cs="Arial"/>
          <w:b/>
          <w:sz w:val="32"/>
          <w:szCs w:val="32"/>
          <w:lang w:val="es-MX" w:eastAsia="es-MX"/>
        </w:rPr>
        <w:t xml:space="preserve"> </w:t>
      </w:r>
      <w:r w:rsidRPr="00077F38">
        <w:rPr>
          <w:rFonts w:ascii="Arial" w:hAnsi="Arial" w:cs="Arial"/>
          <w:b/>
          <w:sz w:val="32"/>
          <w:szCs w:val="32"/>
          <w:lang w:val="es-MX" w:eastAsia="es-MX"/>
        </w:rPr>
        <w:t>A</w:t>
      </w:r>
      <w:r>
        <w:rPr>
          <w:rFonts w:ascii="Arial" w:hAnsi="Arial" w:cs="Arial"/>
          <w:b/>
          <w:sz w:val="32"/>
          <w:szCs w:val="32"/>
          <w:lang w:val="es-MX" w:eastAsia="es-MX"/>
        </w:rPr>
        <w:t xml:space="preserve"> </w:t>
      </w:r>
      <w:r w:rsidRPr="00077F38">
        <w:rPr>
          <w:rFonts w:ascii="Arial" w:hAnsi="Arial" w:cs="Arial"/>
          <w:b/>
          <w:sz w:val="32"/>
          <w:szCs w:val="32"/>
          <w:lang w:val="es-MX" w:eastAsia="es-MX"/>
        </w:rPr>
        <w:t>M</w:t>
      </w:r>
      <w:r>
        <w:rPr>
          <w:rFonts w:ascii="Arial" w:hAnsi="Arial" w:cs="Arial"/>
          <w:b/>
          <w:sz w:val="32"/>
          <w:szCs w:val="32"/>
          <w:lang w:val="es-MX" w:eastAsia="es-MX"/>
        </w:rPr>
        <w:t xml:space="preserve"> </w:t>
      </w:r>
      <w:r w:rsidRPr="00077F38">
        <w:rPr>
          <w:rFonts w:ascii="Arial" w:hAnsi="Arial" w:cs="Arial"/>
          <w:b/>
          <w:sz w:val="32"/>
          <w:szCs w:val="32"/>
          <w:lang w:val="es-MX" w:eastAsia="es-MX"/>
        </w:rPr>
        <w:t>E</w:t>
      </w:r>
      <w:r>
        <w:rPr>
          <w:rFonts w:ascii="Arial" w:hAnsi="Arial" w:cs="Arial"/>
          <w:b/>
          <w:sz w:val="32"/>
          <w:szCs w:val="32"/>
          <w:lang w:val="es-MX" w:eastAsia="es-MX"/>
        </w:rPr>
        <w:t xml:space="preserve"> </w:t>
      </w:r>
      <w:r w:rsidRPr="00077F38">
        <w:rPr>
          <w:rFonts w:ascii="Arial" w:hAnsi="Arial" w:cs="Arial"/>
          <w:b/>
          <w:sz w:val="32"/>
          <w:szCs w:val="32"/>
          <w:lang w:val="es-MX" w:eastAsia="es-MX"/>
        </w:rPr>
        <w:t>N</w:t>
      </w:r>
      <w:r>
        <w:rPr>
          <w:rFonts w:ascii="Arial" w:hAnsi="Arial" w:cs="Arial"/>
          <w:b/>
          <w:sz w:val="32"/>
          <w:szCs w:val="32"/>
          <w:lang w:val="es-MX" w:eastAsia="es-MX"/>
        </w:rPr>
        <w:t xml:space="preserve"> </w:t>
      </w:r>
      <w:r w:rsidRPr="00077F38">
        <w:rPr>
          <w:rFonts w:ascii="Arial" w:hAnsi="Arial" w:cs="Arial"/>
          <w:b/>
          <w:sz w:val="32"/>
          <w:szCs w:val="32"/>
          <w:lang w:val="es-MX" w:eastAsia="es-MX"/>
        </w:rPr>
        <w:t>T</w:t>
      </w:r>
      <w:r>
        <w:rPr>
          <w:rFonts w:ascii="Arial" w:hAnsi="Arial" w:cs="Arial"/>
          <w:b/>
          <w:sz w:val="32"/>
          <w:szCs w:val="32"/>
          <w:lang w:val="es-MX" w:eastAsia="es-MX"/>
        </w:rPr>
        <w:t xml:space="preserve"> </w:t>
      </w:r>
      <w:r w:rsidRPr="00077F38">
        <w:rPr>
          <w:rFonts w:ascii="Arial" w:hAnsi="Arial" w:cs="Arial"/>
          <w:b/>
          <w:sz w:val="32"/>
          <w:szCs w:val="32"/>
          <w:lang w:val="es-MX" w:eastAsia="es-MX"/>
        </w:rPr>
        <w:t>O</w:t>
      </w:r>
      <w:r>
        <w:rPr>
          <w:rFonts w:ascii="Arial" w:hAnsi="Arial" w:cs="Arial"/>
          <w:b/>
          <w:sz w:val="32"/>
          <w:szCs w:val="32"/>
          <w:lang w:val="es-MX" w:eastAsia="es-MX"/>
        </w:rPr>
        <w:t xml:space="preserve"> </w:t>
      </w:r>
      <w:r w:rsidRPr="00077F38">
        <w:rPr>
          <w:rFonts w:ascii="Arial" w:hAnsi="Arial" w:cs="Arial"/>
          <w:b/>
          <w:sz w:val="32"/>
          <w:szCs w:val="32"/>
          <w:lang w:val="es-MX" w:eastAsia="es-MX"/>
        </w:rPr>
        <w:t>S</w:t>
      </w:r>
      <w:r>
        <w:rPr>
          <w:rFonts w:ascii="Arial" w:hAnsi="Arial" w:cs="Arial"/>
          <w:b/>
          <w:sz w:val="32"/>
          <w:szCs w:val="32"/>
          <w:lang w:val="es-MX" w:eastAsia="es-MX"/>
        </w:rPr>
        <w:t xml:space="preserve">   </w:t>
      </w:r>
      <w:r w:rsidR="00D22063">
        <w:rPr>
          <w:rFonts w:ascii="Arial" w:hAnsi="Arial" w:cs="Arial"/>
          <w:b/>
          <w:sz w:val="32"/>
          <w:szCs w:val="32"/>
          <w:lang w:val="es-MX" w:eastAsia="es-MX"/>
        </w:rPr>
        <w:t xml:space="preserve"> METODOLÓ</w:t>
      </w:r>
      <w:r w:rsidRPr="00077F38">
        <w:rPr>
          <w:rFonts w:ascii="Arial" w:hAnsi="Arial" w:cs="Arial"/>
          <w:b/>
          <w:sz w:val="32"/>
          <w:szCs w:val="32"/>
          <w:lang w:val="es-MX" w:eastAsia="es-MX"/>
        </w:rPr>
        <w:t>GICOS</w:t>
      </w:r>
      <w:r>
        <w:rPr>
          <w:rFonts w:ascii="Arial" w:hAnsi="Arial" w:cs="Arial"/>
          <w:b/>
          <w:sz w:val="32"/>
          <w:szCs w:val="32"/>
          <w:lang w:val="es-MX" w:eastAsia="es-MX"/>
        </w:rPr>
        <w:t xml:space="preserve">   </w:t>
      </w:r>
      <w:r w:rsidRPr="00077F38">
        <w:rPr>
          <w:rFonts w:ascii="Arial" w:hAnsi="Arial" w:cs="Arial"/>
          <w:b/>
          <w:sz w:val="32"/>
          <w:szCs w:val="32"/>
          <w:lang w:val="es-MX" w:eastAsia="es-MX"/>
        </w:rPr>
        <w:t xml:space="preserve"> DE </w:t>
      </w:r>
      <w:r>
        <w:rPr>
          <w:rFonts w:ascii="Arial" w:hAnsi="Arial" w:cs="Arial"/>
          <w:b/>
          <w:sz w:val="32"/>
          <w:szCs w:val="32"/>
          <w:lang w:val="es-MX" w:eastAsia="es-MX"/>
        </w:rPr>
        <w:t xml:space="preserve">   </w:t>
      </w:r>
      <w:r w:rsidRPr="00077F38">
        <w:rPr>
          <w:rFonts w:ascii="Arial" w:hAnsi="Arial" w:cs="Arial"/>
          <w:b/>
          <w:sz w:val="32"/>
          <w:szCs w:val="32"/>
          <w:lang w:val="es-MX" w:eastAsia="es-MX"/>
        </w:rPr>
        <w:t xml:space="preserve">LA </w:t>
      </w:r>
    </w:p>
    <w:p w:rsidR="00077F38" w:rsidRDefault="00077F38" w:rsidP="00CB0E8E">
      <w:pPr>
        <w:jc w:val="both"/>
        <w:rPr>
          <w:rFonts w:ascii="Arial" w:hAnsi="Arial" w:cs="Arial"/>
          <w:b/>
          <w:sz w:val="32"/>
          <w:szCs w:val="32"/>
          <w:lang w:val="es-MX" w:eastAsia="es-MX"/>
        </w:rPr>
      </w:pPr>
      <w:r>
        <w:rPr>
          <w:rFonts w:ascii="Arial" w:hAnsi="Arial" w:cs="Arial"/>
          <w:b/>
          <w:sz w:val="32"/>
          <w:szCs w:val="32"/>
          <w:lang w:val="es-MX" w:eastAsia="es-MX"/>
        </w:rPr>
        <w:t xml:space="preserve">       </w:t>
      </w:r>
      <w:r w:rsidRPr="00077F38">
        <w:rPr>
          <w:rFonts w:ascii="Arial" w:hAnsi="Arial" w:cs="Arial"/>
          <w:b/>
          <w:sz w:val="32"/>
          <w:szCs w:val="32"/>
          <w:lang w:val="es-MX" w:eastAsia="es-MX"/>
        </w:rPr>
        <w:t>INTEGRACI</w:t>
      </w:r>
      <w:r w:rsidR="00D22063">
        <w:rPr>
          <w:rFonts w:ascii="Arial" w:hAnsi="Arial" w:cs="Arial"/>
          <w:b/>
          <w:sz w:val="32"/>
          <w:szCs w:val="32"/>
          <w:lang w:val="es-MX" w:eastAsia="es-MX"/>
        </w:rPr>
        <w:t>Ó</w:t>
      </w:r>
      <w:r w:rsidRPr="00077F38">
        <w:rPr>
          <w:rFonts w:ascii="Arial" w:hAnsi="Arial" w:cs="Arial"/>
          <w:b/>
          <w:sz w:val="32"/>
          <w:szCs w:val="32"/>
          <w:lang w:val="es-MX" w:eastAsia="es-MX"/>
        </w:rPr>
        <w:t xml:space="preserve">N </w:t>
      </w:r>
      <w:r>
        <w:rPr>
          <w:rFonts w:ascii="Arial" w:hAnsi="Arial" w:cs="Arial"/>
          <w:b/>
          <w:sz w:val="32"/>
          <w:szCs w:val="32"/>
          <w:lang w:val="es-MX" w:eastAsia="es-MX"/>
        </w:rPr>
        <w:t xml:space="preserve">  </w:t>
      </w:r>
      <w:r w:rsidRPr="00077F38">
        <w:rPr>
          <w:rFonts w:ascii="Arial" w:hAnsi="Arial" w:cs="Arial"/>
          <w:b/>
          <w:sz w:val="32"/>
          <w:szCs w:val="32"/>
          <w:lang w:val="es-MX" w:eastAsia="es-MX"/>
        </w:rPr>
        <w:t xml:space="preserve">Y </w:t>
      </w:r>
      <w:r>
        <w:rPr>
          <w:rFonts w:ascii="Arial" w:hAnsi="Arial" w:cs="Arial"/>
          <w:b/>
          <w:sz w:val="32"/>
          <w:szCs w:val="32"/>
          <w:lang w:val="es-MX" w:eastAsia="es-MX"/>
        </w:rPr>
        <w:t xml:space="preserve">  </w:t>
      </w:r>
      <w:r w:rsidR="00D22063">
        <w:rPr>
          <w:rFonts w:ascii="Arial" w:hAnsi="Arial" w:cs="Arial"/>
          <w:b/>
          <w:sz w:val="32"/>
          <w:szCs w:val="32"/>
          <w:lang w:val="es-MX" w:eastAsia="es-MX"/>
        </w:rPr>
        <w:t>PRODUCCIÓ</w:t>
      </w:r>
      <w:r w:rsidRPr="00077F38">
        <w:rPr>
          <w:rFonts w:ascii="Arial" w:hAnsi="Arial" w:cs="Arial"/>
          <w:b/>
          <w:sz w:val="32"/>
          <w:szCs w:val="32"/>
          <w:lang w:val="es-MX" w:eastAsia="es-MX"/>
        </w:rPr>
        <w:t xml:space="preserve">N </w:t>
      </w:r>
      <w:r>
        <w:rPr>
          <w:rFonts w:ascii="Arial" w:hAnsi="Arial" w:cs="Arial"/>
          <w:b/>
          <w:sz w:val="32"/>
          <w:szCs w:val="32"/>
          <w:lang w:val="es-MX" w:eastAsia="es-MX"/>
        </w:rPr>
        <w:t xml:space="preserve">  </w:t>
      </w:r>
      <w:r w:rsidR="00D22063">
        <w:rPr>
          <w:rFonts w:ascii="Arial" w:hAnsi="Arial" w:cs="Arial"/>
          <w:b/>
          <w:sz w:val="32"/>
          <w:szCs w:val="32"/>
          <w:lang w:val="es-MX" w:eastAsia="es-MX"/>
        </w:rPr>
        <w:t>AUTOMÁ</w:t>
      </w:r>
      <w:r w:rsidRPr="00077F38">
        <w:rPr>
          <w:rFonts w:ascii="Arial" w:hAnsi="Arial" w:cs="Arial"/>
          <w:b/>
          <w:sz w:val="32"/>
          <w:szCs w:val="32"/>
          <w:lang w:val="es-MX" w:eastAsia="es-MX"/>
        </w:rPr>
        <w:t xml:space="preserve">TICA </w:t>
      </w:r>
      <w:r>
        <w:rPr>
          <w:rFonts w:ascii="Arial" w:hAnsi="Arial" w:cs="Arial"/>
          <w:b/>
          <w:sz w:val="32"/>
          <w:szCs w:val="32"/>
          <w:lang w:val="es-MX" w:eastAsia="es-MX"/>
        </w:rPr>
        <w:t xml:space="preserve"> </w:t>
      </w:r>
      <w:r w:rsidRPr="00077F38">
        <w:rPr>
          <w:rFonts w:ascii="Arial" w:hAnsi="Arial" w:cs="Arial"/>
          <w:b/>
          <w:sz w:val="32"/>
          <w:szCs w:val="32"/>
          <w:lang w:val="es-MX" w:eastAsia="es-MX"/>
        </w:rPr>
        <w:t xml:space="preserve">DE </w:t>
      </w:r>
    </w:p>
    <w:p w:rsidR="00CA3BE6" w:rsidRDefault="00077F38" w:rsidP="00CB0E8E">
      <w:pPr>
        <w:jc w:val="both"/>
        <w:rPr>
          <w:rFonts w:ascii="Arial" w:hAnsi="Arial" w:cs="Arial"/>
          <w:b/>
          <w:sz w:val="32"/>
          <w:szCs w:val="32"/>
          <w:lang w:val="es-MX" w:eastAsia="es-MX"/>
        </w:rPr>
      </w:pPr>
      <w:r>
        <w:rPr>
          <w:rFonts w:ascii="Arial" w:hAnsi="Arial" w:cs="Arial"/>
          <w:b/>
          <w:sz w:val="32"/>
          <w:szCs w:val="32"/>
          <w:lang w:val="es-MX" w:eastAsia="es-MX"/>
        </w:rPr>
        <w:t xml:space="preserve">       </w:t>
      </w:r>
      <w:r w:rsidRPr="00077F38">
        <w:rPr>
          <w:rFonts w:ascii="Arial" w:hAnsi="Arial" w:cs="Arial"/>
          <w:b/>
          <w:sz w:val="32"/>
          <w:szCs w:val="32"/>
          <w:lang w:val="es-MX" w:eastAsia="es-MX"/>
        </w:rPr>
        <w:t>INFORMACI</w:t>
      </w:r>
      <w:r w:rsidR="00D22063">
        <w:rPr>
          <w:rFonts w:ascii="Arial" w:hAnsi="Arial" w:cs="Arial"/>
          <w:b/>
          <w:sz w:val="32"/>
          <w:szCs w:val="32"/>
          <w:lang w:val="es-MX" w:eastAsia="es-MX"/>
        </w:rPr>
        <w:t>Ó</w:t>
      </w:r>
      <w:r w:rsidRPr="00077F38">
        <w:rPr>
          <w:rFonts w:ascii="Arial" w:hAnsi="Arial" w:cs="Arial"/>
          <w:b/>
          <w:sz w:val="32"/>
          <w:szCs w:val="32"/>
          <w:lang w:val="es-MX" w:eastAsia="es-MX"/>
        </w:rPr>
        <w:t>N FINANCIERA</w:t>
      </w:r>
    </w:p>
    <w:p w:rsidR="00087F39" w:rsidRDefault="00087F39" w:rsidP="00CB0E8E">
      <w:pPr>
        <w:jc w:val="both"/>
        <w:rPr>
          <w:rFonts w:ascii="Arial" w:hAnsi="Arial" w:cs="Arial"/>
          <w:b/>
          <w:sz w:val="32"/>
          <w:szCs w:val="32"/>
          <w:lang w:val="es-MX" w:eastAsia="es-MX"/>
        </w:rPr>
      </w:pPr>
    </w:p>
    <w:p w:rsidR="00087F39" w:rsidRPr="00087F39" w:rsidRDefault="00087F39" w:rsidP="00087F39">
      <w:pPr>
        <w:jc w:val="both"/>
        <w:rPr>
          <w:rFonts w:ascii="Arial" w:hAnsi="Arial" w:cs="Arial"/>
          <w:sz w:val="28"/>
          <w:szCs w:val="28"/>
          <w:lang w:val="es-MX"/>
        </w:rPr>
      </w:pPr>
      <w:r w:rsidRPr="00087F39">
        <w:rPr>
          <w:rFonts w:ascii="Arial" w:hAnsi="Arial" w:cs="Arial"/>
          <w:sz w:val="28"/>
          <w:szCs w:val="28"/>
          <w:lang w:val="es-MX"/>
        </w:rPr>
        <w:t xml:space="preserve">Los Fundamentos Metodológicos de la Integración y Producción de Información Financiera </w:t>
      </w:r>
      <w:r w:rsidRPr="00087F39">
        <w:rPr>
          <w:rFonts w:ascii="Arial" w:hAnsi="Arial" w:cs="Arial"/>
          <w:b/>
          <w:i/>
          <w:color w:val="943634" w:themeColor="accent2" w:themeShade="BF"/>
          <w:sz w:val="28"/>
          <w:szCs w:val="28"/>
          <w:lang w:val="es-MX"/>
        </w:rPr>
        <w:t>comprenden las bases conceptuales y criterios generales  aplicados en el diseño funcional e informático</w:t>
      </w:r>
      <w:r w:rsidRPr="00087F39">
        <w:rPr>
          <w:rFonts w:ascii="Arial" w:hAnsi="Arial" w:cs="Arial"/>
          <w:sz w:val="28"/>
          <w:szCs w:val="28"/>
          <w:lang w:val="es-MX"/>
        </w:rPr>
        <w:t xml:space="preserve"> para la construcción del Sistema Integral de Contabilidad Gubernamental del ente.</w:t>
      </w:r>
    </w:p>
    <w:p w:rsidR="00087F39" w:rsidRPr="00087F39" w:rsidRDefault="00087F39" w:rsidP="00087F39">
      <w:pPr>
        <w:jc w:val="both"/>
        <w:rPr>
          <w:rFonts w:ascii="Arial" w:hAnsi="Arial" w:cs="Arial"/>
          <w:sz w:val="28"/>
          <w:szCs w:val="28"/>
          <w:lang w:val="es-MX"/>
        </w:rPr>
      </w:pPr>
    </w:p>
    <w:p w:rsidR="00087F39" w:rsidRPr="00087F39" w:rsidRDefault="00087F39" w:rsidP="00087F39">
      <w:pPr>
        <w:jc w:val="both"/>
        <w:rPr>
          <w:rFonts w:ascii="Arial" w:hAnsi="Arial" w:cs="Arial"/>
          <w:sz w:val="28"/>
          <w:szCs w:val="28"/>
          <w:lang w:val="es-MX"/>
        </w:rPr>
      </w:pPr>
    </w:p>
    <w:p w:rsidR="00087F39" w:rsidRPr="00087F39" w:rsidRDefault="00087F39" w:rsidP="00087F39">
      <w:pPr>
        <w:jc w:val="both"/>
        <w:rPr>
          <w:rFonts w:ascii="Arial" w:hAnsi="Arial" w:cs="Arial"/>
          <w:sz w:val="28"/>
          <w:szCs w:val="28"/>
          <w:lang w:val="es-MX"/>
        </w:rPr>
      </w:pPr>
      <w:r w:rsidRPr="00087F39">
        <w:rPr>
          <w:rFonts w:ascii="Arial" w:hAnsi="Arial" w:cs="Arial"/>
          <w:sz w:val="28"/>
          <w:szCs w:val="28"/>
          <w:lang w:val="es-MX"/>
        </w:rPr>
        <w:t xml:space="preserve">Este sistema </w:t>
      </w:r>
      <w:r w:rsidRPr="00087F39">
        <w:rPr>
          <w:rFonts w:ascii="Arial" w:hAnsi="Arial" w:cs="Arial"/>
          <w:b/>
          <w:i/>
          <w:color w:val="943634" w:themeColor="accent2" w:themeShade="BF"/>
          <w:sz w:val="28"/>
          <w:szCs w:val="28"/>
          <w:lang w:val="es-MX"/>
        </w:rPr>
        <w:t>está soportado por una herramienta modular automatizada,</w:t>
      </w:r>
      <w:r w:rsidRPr="00087F39">
        <w:rPr>
          <w:rFonts w:ascii="Arial" w:hAnsi="Arial" w:cs="Arial"/>
          <w:sz w:val="28"/>
          <w:szCs w:val="28"/>
          <w:lang w:val="es-MX"/>
        </w:rPr>
        <w:t xml:space="preserve"> cuyo propósito fundamental radica en facilitar el registro único de las operaciones presupuestarias y contables, realizado en forma automática al momento en que ocurren los eventos de los procesos administrativos que les dieron origen, de manera que se dispone en tiempo real de estados sobre el ejercicio del Presupuesto de Egresos y de Ingresos, así como contables y económicos realizados por el ente.</w:t>
      </w:r>
    </w:p>
    <w:p w:rsidR="00087F39" w:rsidRDefault="00087F39" w:rsidP="00CB0E8E">
      <w:pPr>
        <w:jc w:val="both"/>
        <w:rPr>
          <w:rFonts w:ascii="Arial" w:hAnsi="Arial" w:cs="Arial"/>
          <w:b/>
          <w:sz w:val="32"/>
          <w:szCs w:val="32"/>
          <w:lang w:val="es-MX" w:eastAsia="es-MX"/>
        </w:rPr>
      </w:pPr>
    </w:p>
    <w:p w:rsidR="00087F39" w:rsidRPr="00077F38" w:rsidRDefault="00087F39" w:rsidP="00CB0E8E">
      <w:pPr>
        <w:jc w:val="both"/>
        <w:rPr>
          <w:rFonts w:ascii="Arial" w:hAnsi="Arial" w:cs="Arial"/>
          <w:b/>
          <w:sz w:val="32"/>
          <w:szCs w:val="32"/>
          <w:lang w:val="es-MX" w:eastAsia="es-MX"/>
        </w:rPr>
      </w:pPr>
    </w:p>
    <w:p w:rsidR="00CA3BE6" w:rsidRPr="00077F38" w:rsidRDefault="00CA3BE6" w:rsidP="00CB0E8E">
      <w:pPr>
        <w:jc w:val="both"/>
        <w:rPr>
          <w:rFonts w:ascii="Arial" w:hAnsi="Arial" w:cs="Arial"/>
          <w:b/>
          <w:sz w:val="32"/>
          <w:szCs w:val="32"/>
          <w:lang w:val="es-MX" w:eastAsia="es-MX"/>
        </w:rPr>
      </w:pPr>
    </w:p>
    <w:p w:rsidR="00CA01F2" w:rsidRPr="00CA01F2" w:rsidRDefault="00D22063" w:rsidP="00CA01F2">
      <w:pPr>
        <w:jc w:val="center"/>
        <w:rPr>
          <w:rFonts w:ascii="Arial Narrow" w:hAnsi="Arial Narrow"/>
          <w:b/>
          <w:sz w:val="26"/>
          <w:szCs w:val="26"/>
          <w:lang w:val="es-MX"/>
        </w:rPr>
      </w:pPr>
      <w:r>
        <w:rPr>
          <w:rFonts w:ascii="Arial Narrow" w:hAnsi="Arial Narrow"/>
          <w:b/>
          <w:sz w:val="26"/>
          <w:szCs w:val="26"/>
          <w:lang w:val="es-MX"/>
        </w:rPr>
        <w:t>CARACTERÍ</w:t>
      </w:r>
      <w:r w:rsidR="00CA01F2" w:rsidRPr="00CA01F2">
        <w:rPr>
          <w:rFonts w:ascii="Arial Narrow" w:hAnsi="Arial Narrow"/>
          <w:b/>
          <w:sz w:val="26"/>
          <w:szCs w:val="26"/>
          <w:lang w:val="es-MX"/>
        </w:rPr>
        <w:t>STICAS GENERALES</w:t>
      </w:r>
    </w:p>
    <w:p w:rsidR="00CA01F2" w:rsidRPr="00CA01F2" w:rsidRDefault="00CA01F2" w:rsidP="00CA01F2">
      <w:pPr>
        <w:jc w:val="both"/>
        <w:rPr>
          <w:rFonts w:ascii="Arial Narrow" w:hAnsi="Arial Narrow"/>
          <w:b/>
          <w:sz w:val="26"/>
          <w:szCs w:val="26"/>
          <w:lang w:val="es-MX"/>
        </w:rPr>
      </w:pP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 xml:space="preserve">El sistema de Contabilidad Gubernamental de conformidad con lo dispuesto en el artículo 18 de la LGCG, está conformado por el conjunto de registros, procedimientos, criterios e informes, estructurados sobre la base de principios técnicos comunes destinados a captar, valuar, registrar, clasificar, informar e interpretar, las transacciones, transformaciones y eventos que, derivados de su actividad económica, modifican la situación patrimonial del ente. </w:t>
      </w:r>
    </w:p>
    <w:p w:rsidR="00CA01F2" w:rsidRPr="00CA01F2" w:rsidRDefault="00CA01F2" w:rsidP="00CA01F2">
      <w:pPr>
        <w:jc w:val="both"/>
        <w:rPr>
          <w:rFonts w:ascii="Arial Narrow" w:hAnsi="Arial Narrow"/>
          <w:b/>
          <w:sz w:val="26"/>
          <w:szCs w:val="26"/>
          <w:lang w:val="es-MX"/>
        </w:rPr>
      </w:pPr>
    </w:p>
    <w:p w:rsidR="00CA01F2" w:rsidRPr="00CA01F2" w:rsidRDefault="00CA01F2" w:rsidP="00CA01F2">
      <w:pPr>
        <w:jc w:val="both"/>
        <w:rPr>
          <w:rFonts w:ascii="Arial Narrow" w:hAnsi="Arial Narrow"/>
          <w:b/>
          <w:sz w:val="26"/>
          <w:szCs w:val="26"/>
          <w:lang w:val="es-MX"/>
        </w:rPr>
      </w:pPr>
      <w:r w:rsidRPr="00CA01F2">
        <w:rPr>
          <w:rFonts w:ascii="Arial Narrow" w:hAnsi="Arial Narrow"/>
          <w:b/>
          <w:sz w:val="26"/>
          <w:szCs w:val="26"/>
          <w:lang w:val="es-MX"/>
        </w:rPr>
        <w:t>Registro derivado de la gestión</w:t>
      </w: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sistema de Contabilidad Gubernamental debe permitir el registro de manera automática, armónica, delimitada, específica y en tiempo real las operaciones contables y presupuestarias propiciando con ello, el registro único, simultáneo y homogéneo de la totalidad de las operaciones derivadas de la gestión del ente.</w:t>
      </w: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b/>
          <w:sz w:val="26"/>
          <w:szCs w:val="26"/>
          <w:lang w:val="es-MX"/>
        </w:rPr>
      </w:pPr>
      <w:r w:rsidRPr="00CA01F2">
        <w:rPr>
          <w:rFonts w:ascii="Arial Narrow" w:hAnsi="Arial Narrow"/>
          <w:b/>
          <w:sz w:val="26"/>
          <w:szCs w:val="26"/>
          <w:lang w:val="es-MX"/>
        </w:rPr>
        <w:t>Integración automática de la información contable-presupuestaria</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sistema de Contabilidad Gubernamental debe integrar en forma automática la operación contable con el ejercicio presupuestario, mediante la interrelación automática entre los clasificadores presupuestarios y la lista de cuentas (Plan de Cuentas) emitido por el CONAC.</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lastRenderedPageBreak/>
        <w:t xml:space="preserve">El sistema debe reflejar un registro congruente y ordenado de cada operación que genera derechos y obligaciones derivados de la gestión económica-financiera de esta institución, dando así cumplimiento a la fracción V del artículo 19 de la LGCG. </w:t>
      </w: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b/>
          <w:sz w:val="26"/>
          <w:szCs w:val="26"/>
          <w:lang w:val="es-MX"/>
        </w:rPr>
      </w:pPr>
      <w:r w:rsidRPr="00CA01F2">
        <w:rPr>
          <w:rFonts w:ascii="Arial Narrow" w:hAnsi="Arial Narrow"/>
          <w:b/>
          <w:sz w:val="26"/>
          <w:szCs w:val="26"/>
          <w:lang w:val="es-MX"/>
        </w:rPr>
        <w:t>Tiempo real</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Las transacciones se registran por única vez en el momento en que suceden o cuando el ente conoce su existencia, apegándose a los Postulados Básicos de Contabilidad Gubernamental contenidos en el “ACUERDO por el que se emite el Marco Conceptual de Contabilidad Gubernamental”, publicado en el DOF el 20 de agosto de 2009.</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Asimismo, de conformidad con lo establecido en la fracción I del artículo 19 de la LGCG, el sistema del ente debe reflejar la aplicación de los principios, normas contables generales y específicas e instrumentos establecidos por el CONAC.</w:t>
      </w:r>
    </w:p>
    <w:p w:rsidR="00CA01F2" w:rsidRPr="00CA01F2" w:rsidRDefault="00CA01F2" w:rsidP="00CA01F2">
      <w:pPr>
        <w:jc w:val="both"/>
        <w:rPr>
          <w:rFonts w:ascii="Arial Narrow" w:hAnsi="Arial Narrow"/>
          <w:sz w:val="26"/>
          <w:szCs w:val="26"/>
          <w:lang w:val="es-MX"/>
        </w:rPr>
      </w:pPr>
    </w:p>
    <w:p w:rsidR="00CA01F2" w:rsidRPr="00CA01F2" w:rsidRDefault="00CA01F2" w:rsidP="00CA01F2">
      <w:pPr>
        <w:rPr>
          <w:rFonts w:ascii="Arial Narrow" w:hAnsi="Arial Narrow"/>
          <w:b/>
          <w:sz w:val="26"/>
          <w:szCs w:val="26"/>
          <w:lang w:val="es-MX"/>
        </w:rPr>
      </w:pPr>
      <w:proofErr w:type="spellStart"/>
      <w:r w:rsidRPr="00CA01F2">
        <w:rPr>
          <w:rFonts w:ascii="Arial Narrow" w:hAnsi="Arial Narrow"/>
          <w:b/>
          <w:sz w:val="26"/>
          <w:szCs w:val="26"/>
          <w:lang w:val="es-MX"/>
        </w:rPr>
        <w:t>Transaccionalidad</w:t>
      </w:r>
      <w:proofErr w:type="spellEnd"/>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registro automático se realiza operación a operación. Los procesos administrativos que implican transacciones presupuestarias y contables generan el registro automático y por única vez de las mismas en los momentos contables correspondientes, tal como lo dispone el artículo 40 de la LGCG.</w:t>
      </w:r>
    </w:p>
    <w:p w:rsidR="00CA01F2" w:rsidRDefault="00CA01F2" w:rsidP="00CA01F2">
      <w:pPr>
        <w:jc w:val="both"/>
        <w:rPr>
          <w:rFonts w:ascii="Arial Narrow" w:hAnsi="Arial Narrow"/>
          <w:lang w:val="es-MX"/>
        </w:rPr>
      </w:pPr>
    </w:p>
    <w:p w:rsidR="00CA01F2" w:rsidRDefault="00CA01F2" w:rsidP="00CA01F2">
      <w:pPr>
        <w:jc w:val="both"/>
        <w:rPr>
          <w:rFonts w:ascii="Arial Narrow" w:hAnsi="Arial Narrow"/>
          <w:lang w:val="es-MX"/>
        </w:rPr>
      </w:pPr>
    </w:p>
    <w:p w:rsidR="00CA01F2" w:rsidRPr="00CA01F2" w:rsidRDefault="00CA01F2" w:rsidP="00CA01F2">
      <w:pPr>
        <w:jc w:val="center"/>
        <w:rPr>
          <w:rFonts w:ascii="Arial Narrow" w:hAnsi="Arial Narrow"/>
          <w:b/>
          <w:sz w:val="26"/>
          <w:szCs w:val="26"/>
          <w:lang w:val="es-MX"/>
        </w:rPr>
      </w:pPr>
      <w:r w:rsidRPr="00CA01F2">
        <w:rPr>
          <w:rFonts w:ascii="Arial Narrow" w:hAnsi="Arial Narrow"/>
          <w:b/>
          <w:sz w:val="26"/>
          <w:szCs w:val="26"/>
          <w:lang w:val="es-MX"/>
        </w:rPr>
        <w:t xml:space="preserve"> REGISTRO DE PRESUPUESTO DE EGRESOS Y DE LEY DE INGRESOS</w:t>
      </w:r>
    </w:p>
    <w:p w:rsidR="00CA01F2" w:rsidRPr="00CA01F2" w:rsidRDefault="00CA01F2" w:rsidP="00CA01F2">
      <w:pPr>
        <w:jc w:val="both"/>
        <w:rPr>
          <w:rFonts w:ascii="Arial Narrow" w:hAnsi="Arial Narrow"/>
          <w:b/>
          <w:sz w:val="26"/>
          <w:szCs w:val="26"/>
          <w:lang w:val="es-MX"/>
        </w:rPr>
      </w:pP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registro presupuestario del ingreso y del egreso debe reflejarse en la contabilidad, considerando sus efectos patrimoniales y su vinculación con las etapas presupuestarias correspondientes.</w:t>
      </w:r>
    </w:p>
    <w:p w:rsidR="00CA01F2" w:rsidRPr="00CA01F2" w:rsidRDefault="00CA01F2" w:rsidP="00CA01F2">
      <w:pPr>
        <w:jc w:val="center"/>
        <w:rPr>
          <w:rFonts w:ascii="Arial Narrow" w:hAnsi="Arial Narrow"/>
          <w:b/>
          <w:sz w:val="26"/>
          <w:szCs w:val="26"/>
          <w:lang w:val="es-MX"/>
        </w:rPr>
      </w:pP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b/>
          <w:sz w:val="26"/>
          <w:szCs w:val="26"/>
          <w:lang w:val="es-MX"/>
        </w:rPr>
      </w:pPr>
      <w:r w:rsidRPr="00CA01F2">
        <w:rPr>
          <w:rFonts w:ascii="Arial Narrow" w:hAnsi="Arial Narrow"/>
          <w:b/>
          <w:sz w:val="26"/>
          <w:szCs w:val="26"/>
          <w:lang w:val="es-MX"/>
        </w:rPr>
        <w:t xml:space="preserve"> Carga de presupuesto de egresos aprobado</w:t>
      </w: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presupuesto de egresos debe registrarse en las cuentas de orden aprobadas en la lista de cuentas emitida por el CONAC.</w:t>
      </w:r>
    </w:p>
    <w:p w:rsidR="00CA01F2" w:rsidRPr="00CA01F2" w:rsidRDefault="00CA01F2"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 xml:space="preserve">El sistema de Contabilidad Gubernamental debe considerar cuentas de orden para el registro del ingreso y el egreso. La contabilización de los presupuestos sigue la metodología y registros equilibrados o igualados, representando las etapas presupuestarias de las transacciones a través de cuentas de orden del ingreso y del egreso, así como su efecto en la posición financiera y en los </w:t>
      </w: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resultados.</w:t>
      </w:r>
    </w:p>
    <w:p w:rsidR="00CA01F2" w:rsidRPr="00CA01F2" w:rsidRDefault="00CA01F2"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 xml:space="preserve">La clasificación de los egresos presupuestarios debe apegarse a lo siguiente: administrativa, que es la que permite identificar </w:t>
      </w:r>
      <w:r w:rsidRPr="00CA01F2">
        <w:rPr>
          <w:rFonts w:ascii="Arial Narrow" w:hAnsi="Arial Narrow"/>
          <w:i/>
          <w:sz w:val="26"/>
          <w:szCs w:val="26"/>
          <w:lang w:val="es-MX"/>
        </w:rPr>
        <w:t>quien</w:t>
      </w:r>
      <w:r w:rsidRPr="00CA01F2">
        <w:rPr>
          <w:rFonts w:ascii="Arial Narrow" w:hAnsi="Arial Narrow"/>
          <w:sz w:val="26"/>
          <w:szCs w:val="26"/>
          <w:lang w:val="es-MX"/>
        </w:rPr>
        <w:t xml:space="preserve"> gasta; funcional y programática, que indica </w:t>
      </w:r>
      <w:r w:rsidRPr="00CA01F2">
        <w:rPr>
          <w:rFonts w:ascii="Arial Narrow" w:hAnsi="Arial Narrow"/>
          <w:i/>
          <w:sz w:val="26"/>
          <w:szCs w:val="26"/>
          <w:lang w:val="es-MX"/>
        </w:rPr>
        <w:t>para que</w:t>
      </w:r>
      <w:r w:rsidRPr="00CA01F2">
        <w:rPr>
          <w:rFonts w:ascii="Arial Narrow" w:hAnsi="Arial Narrow"/>
          <w:sz w:val="26"/>
          <w:szCs w:val="26"/>
          <w:lang w:val="es-MX"/>
        </w:rPr>
        <w:t xml:space="preserve"> se gasta; y económica y por objeto del gasto que identifica </w:t>
      </w:r>
      <w:r w:rsidRPr="00CA01F2">
        <w:rPr>
          <w:rFonts w:ascii="Arial Narrow" w:hAnsi="Arial Narrow"/>
          <w:i/>
          <w:sz w:val="26"/>
          <w:szCs w:val="26"/>
          <w:lang w:val="es-MX"/>
        </w:rPr>
        <w:t>en que</w:t>
      </w:r>
      <w:r w:rsidRPr="00CA01F2">
        <w:rPr>
          <w:rFonts w:ascii="Arial Narrow" w:hAnsi="Arial Narrow"/>
          <w:sz w:val="26"/>
          <w:szCs w:val="26"/>
          <w:lang w:val="es-MX"/>
        </w:rPr>
        <w:t xml:space="preserve"> se gasta. </w:t>
      </w:r>
    </w:p>
    <w:p w:rsidR="00CA01F2" w:rsidRPr="00CA01F2" w:rsidRDefault="00CA01F2"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Por lo que al producirse una transacción relacionada con el presupuesto de egresos se imputa según la clave presupuestaria y el momento contable que le corresponde.</w:t>
      </w:r>
    </w:p>
    <w:p w:rsidR="00CA01F2" w:rsidRPr="00CA01F2" w:rsidRDefault="00CA01F2"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La transacción se imputa según la clave presupuestaria completa, como sigue:</w:t>
      </w: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Clasificación administrativa: Ramo y Unidad responsable.</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 xml:space="preserve">Clasificación programática: Grupo Funcional, Función, </w:t>
      </w:r>
      <w:proofErr w:type="spellStart"/>
      <w:r w:rsidRPr="00CA01F2">
        <w:rPr>
          <w:rFonts w:ascii="Arial Narrow" w:hAnsi="Arial Narrow"/>
          <w:sz w:val="26"/>
          <w:szCs w:val="26"/>
          <w:lang w:val="es-MX"/>
        </w:rPr>
        <w:t>Subfunción</w:t>
      </w:r>
      <w:proofErr w:type="spellEnd"/>
      <w:r w:rsidRPr="00CA01F2">
        <w:rPr>
          <w:rFonts w:ascii="Arial Narrow" w:hAnsi="Arial Narrow"/>
          <w:sz w:val="26"/>
          <w:szCs w:val="26"/>
          <w:lang w:val="es-MX"/>
        </w:rPr>
        <w:t>, Actividad institucional, Programa y Proyecto.</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Clasificación Económica: Objeto del gasto y Tipo del gasto.</w:t>
      </w:r>
    </w:p>
    <w:p w:rsid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b/>
          <w:sz w:val="26"/>
          <w:szCs w:val="26"/>
          <w:lang w:val="es-MX"/>
        </w:rPr>
      </w:pPr>
      <w:r w:rsidRPr="00CA01F2">
        <w:rPr>
          <w:rFonts w:ascii="Arial Narrow" w:hAnsi="Arial Narrow"/>
          <w:b/>
          <w:sz w:val="26"/>
          <w:szCs w:val="26"/>
          <w:lang w:val="es-MX"/>
        </w:rPr>
        <w:t xml:space="preserve"> Carga de la Ley de Ingresos aprobada.  </w:t>
      </w:r>
    </w:p>
    <w:p w:rsidR="00CA01F2" w:rsidRPr="00CA01F2" w:rsidRDefault="00CA01F2" w:rsidP="00CA01F2">
      <w:pPr>
        <w:jc w:val="both"/>
        <w:rPr>
          <w:rFonts w:ascii="Arial Narrow" w:hAnsi="Arial Narrow"/>
          <w:sz w:val="26"/>
          <w:szCs w:val="26"/>
          <w:lang w:val="es-MX"/>
        </w:rPr>
      </w:pPr>
      <w:r w:rsidRPr="00CA01F2">
        <w:rPr>
          <w:rFonts w:ascii="Arial Narrow" w:hAnsi="Arial Narrow"/>
          <w:sz w:val="26"/>
          <w:szCs w:val="26"/>
          <w:lang w:val="es-MX"/>
        </w:rPr>
        <w:t>El registro presupuestario de ingresos debe efectuarse en las cuentas de  orden aprobadas en la lista de cuentas emitida por el CONAC, y al Clasificador por Rubro de Ingresos, por lo que al producirse una transacción relacionada con el presupuesto de ingresos se imputa según la clave presupuestaria y el momento contable que le corresponde.</w:t>
      </w: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sz w:val="26"/>
          <w:szCs w:val="26"/>
          <w:lang w:val="es-MX"/>
        </w:rPr>
      </w:pPr>
    </w:p>
    <w:p w:rsidR="00CA01F2" w:rsidRPr="00CA01F2" w:rsidRDefault="00CA01F2" w:rsidP="00CA01F2">
      <w:pPr>
        <w:jc w:val="both"/>
        <w:rPr>
          <w:rFonts w:ascii="Arial Narrow" w:hAnsi="Arial Narrow"/>
          <w:sz w:val="26"/>
          <w:szCs w:val="26"/>
          <w:lang w:val="es-MX"/>
        </w:rPr>
      </w:pPr>
    </w:p>
    <w:p w:rsidR="00CA01F2" w:rsidRDefault="00CA01F2" w:rsidP="00CA01F2">
      <w:pPr>
        <w:jc w:val="both"/>
        <w:rPr>
          <w:rFonts w:ascii="Arial Narrow" w:hAnsi="Arial Narrow"/>
          <w:lang w:val="es-MX"/>
        </w:rPr>
      </w:pPr>
    </w:p>
    <w:p w:rsidR="00CA01F2" w:rsidRPr="00077F38" w:rsidRDefault="00CA01F2" w:rsidP="00CA01F2">
      <w:pPr>
        <w:jc w:val="center"/>
        <w:rPr>
          <w:rFonts w:ascii="Arial Narrow" w:hAnsi="Arial Narrow"/>
          <w:b/>
          <w:sz w:val="26"/>
          <w:szCs w:val="26"/>
          <w:lang w:val="es-MX"/>
        </w:rPr>
      </w:pPr>
      <w:r w:rsidRPr="00077F38">
        <w:rPr>
          <w:rFonts w:ascii="Arial Narrow" w:hAnsi="Arial Narrow"/>
          <w:b/>
          <w:sz w:val="26"/>
          <w:szCs w:val="26"/>
          <w:lang w:val="es-MX"/>
        </w:rPr>
        <w:t xml:space="preserve"> Ejecución de gasto</w:t>
      </w:r>
    </w:p>
    <w:p w:rsidR="00CA01F2" w:rsidRPr="00077F38" w:rsidRDefault="00CA01F2" w:rsidP="00CA01F2">
      <w:pPr>
        <w:jc w:val="center"/>
        <w:rPr>
          <w:rFonts w:ascii="Arial Narrow" w:hAnsi="Arial Narrow"/>
          <w:b/>
          <w:sz w:val="26"/>
          <w:szCs w:val="26"/>
          <w:lang w:val="es-MX"/>
        </w:rPr>
      </w:pPr>
    </w:p>
    <w:p w:rsidR="00CA01F2" w:rsidRPr="00077F38" w:rsidRDefault="00CA01F2" w:rsidP="00CA01F2">
      <w:pPr>
        <w:jc w:val="center"/>
        <w:rPr>
          <w:rFonts w:ascii="Arial Narrow" w:hAnsi="Arial Narrow"/>
          <w:b/>
          <w:sz w:val="26"/>
          <w:szCs w:val="26"/>
          <w:lang w:val="es-MX"/>
        </w:rPr>
      </w:pPr>
    </w:p>
    <w:p w:rsidR="00CA01F2" w:rsidRPr="00077F38" w:rsidRDefault="00CA01F2" w:rsidP="00CA01F2">
      <w:pPr>
        <w:jc w:val="both"/>
        <w:rPr>
          <w:rFonts w:ascii="Arial Narrow" w:hAnsi="Arial Narrow"/>
          <w:b/>
          <w:sz w:val="26"/>
          <w:szCs w:val="26"/>
          <w:lang w:val="es-MX"/>
        </w:rPr>
      </w:pPr>
      <w:r w:rsidRPr="00077F38">
        <w:rPr>
          <w:rFonts w:ascii="Arial Narrow" w:hAnsi="Arial Narrow"/>
          <w:b/>
          <w:sz w:val="26"/>
          <w:szCs w:val="26"/>
          <w:lang w:val="es-MX"/>
        </w:rPr>
        <w:t xml:space="preserve"> Adecuaciones presupuestarias</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El aplicativo debe  permitir la realización de adecuaciones, tanto de ampliaciones, como de reducciones y traspasos, siempre que se cumpla con la normatividad contenida en </w:t>
      </w:r>
      <w:r w:rsidR="00077F38" w:rsidRPr="00077F38">
        <w:rPr>
          <w:rFonts w:ascii="Arial Narrow" w:hAnsi="Arial Narrow"/>
          <w:sz w:val="26"/>
          <w:szCs w:val="26"/>
          <w:lang w:val="es-MX"/>
        </w:rPr>
        <w:t>la Ley.</w:t>
      </w:r>
    </w:p>
    <w:p w:rsidR="00077F38" w:rsidRPr="00077F38" w:rsidRDefault="00077F38" w:rsidP="00CA01F2">
      <w:pPr>
        <w:jc w:val="both"/>
        <w:rPr>
          <w:rFonts w:ascii="Arial Narrow" w:hAnsi="Arial Narrow"/>
          <w:sz w:val="26"/>
          <w:szCs w:val="26"/>
          <w:lang w:val="es-MX"/>
        </w:rPr>
      </w:pPr>
    </w:p>
    <w:p w:rsidR="00CA01F2" w:rsidRPr="00077F38" w:rsidRDefault="00CA01F2" w:rsidP="00CA01F2">
      <w:pPr>
        <w:rPr>
          <w:rFonts w:ascii="Arial Narrow" w:hAnsi="Arial Narrow"/>
          <w:b/>
          <w:sz w:val="26"/>
          <w:szCs w:val="26"/>
          <w:lang w:val="es-MX"/>
        </w:rPr>
      </w:pPr>
      <w:r w:rsidRPr="00077F38">
        <w:rPr>
          <w:rFonts w:ascii="Arial Narrow" w:hAnsi="Arial Narrow"/>
          <w:b/>
          <w:sz w:val="26"/>
          <w:szCs w:val="26"/>
          <w:lang w:val="es-MX"/>
        </w:rPr>
        <w:t>Registro de los momentos contables</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La totalidad de las transacciones con trascendencia administrativa/financiera derivadas de la gestión de</w:t>
      </w:r>
      <w:r w:rsidR="00077F38" w:rsidRPr="00077F38">
        <w:rPr>
          <w:rFonts w:ascii="Arial Narrow" w:hAnsi="Arial Narrow"/>
          <w:sz w:val="26"/>
          <w:szCs w:val="26"/>
          <w:lang w:val="es-MX"/>
        </w:rPr>
        <w:t>l ente</w:t>
      </w:r>
      <w:r w:rsidRPr="00077F38">
        <w:rPr>
          <w:rFonts w:ascii="Arial Narrow" w:hAnsi="Arial Narrow"/>
          <w:sz w:val="26"/>
          <w:szCs w:val="26"/>
          <w:lang w:val="es-MX"/>
        </w:rPr>
        <w:t xml:space="preserve"> </w:t>
      </w:r>
      <w:r w:rsidR="00077F38" w:rsidRPr="00077F38">
        <w:rPr>
          <w:rFonts w:ascii="Arial Narrow" w:hAnsi="Arial Narrow"/>
          <w:sz w:val="26"/>
          <w:szCs w:val="26"/>
          <w:lang w:val="es-MX"/>
        </w:rPr>
        <w:t>deben ser</w:t>
      </w:r>
      <w:r w:rsidRPr="00077F38">
        <w:rPr>
          <w:rFonts w:ascii="Arial Narrow" w:hAnsi="Arial Narrow"/>
          <w:sz w:val="26"/>
          <w:szCs w:val="26"/>
          <w:lang w:val="es-MX"/>
        </w:rPr>
        <w:t xml:space="preserve"> registra</w:t>
      </w:r>
      <w:r w:rsidR="00077F38" w:rsidRPr="00077F38">
        <w:rPr>
          <w:rFonts w:ascii="Arial Narrow" w:hAnsi="Arial Narrow"/>
          <w:sz w:val="26"/>
          <w:szCs w:val="26"/>
          <w:lang w:val="es-MX"/>
        </w:rPr>
        <w:t>dos e</w:t>
      </w:r>
      <w:r w:rsidRPr="00077F38">
        <w:rPr>
          <w:rFonts w:ascii="Arial Narrow" w:hAnsi="Arial Narrow"/>
          <w:sz w:val="26"/>
          <w:szCs w:val="26"/>
          <w:lang w:val="es-MX"/>
        </w:rPr>
        <w:t>n las cuentas aprobadas en la Lista de Cuentas del Plan del Cuentas, alineado a los clasificadores presupuestarios armonizados y vinculados a los momentos contables establecidos en el artículos 38 de la Ley General de Contabilidad Gubernamental. Lo anterior permite el control presupuestario a distintos niveles de desagregación y facilita su análisis.</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Adicionalmente el aplicativo </w:t>
      </w:r>
      <w:r w:rsidR="00077F38" w:rsidRPr="00077F38">
        <w:rPr>
          <w:rFonts w:ascii="Arial Narrow" w:hAnsi="Arial Narrow"/>
          <w:sz w:val="26"/>
          <w:szCs w:val="26"/>
          <w:lang w:val="es-MX"/>
        </w:rPr>
        <w:t>deberá encontrarse</w:t>
      </w:r>
      <w:r w:rsidRPr="00077F38">
        <w:rPr>
          <w:rFonts w:ascii="Arial Narrow" w:hAnsi="Arial Narrow"/>
          <w:sz w:val="26"/>
          <w:szCs w:val="26"/>
          <w:lang w:val="es-MX"/>
        </w:rPr>
        <w:t xml:space="preserve"> vinculado a los saldos de las cuentas bancarias por recurso, lo cual facilita el control de la disponibilidad de los recursos en los distintos momentos del gasto sin permitir el sobregiro de ninguna cuenta.</w:t>
      </w:r>
    </w:p>
    <w:p w:rsidR="00CA01F2" w:rsidRPr="00077F38" w:rsidRDefault="00CA01F2" w:rsidP="00CA01F2">
      <w:pPr>
        <w:jc w:val="both"/>
        <w:rPr>
          <w:rFonts w:ascii="Arial Narrow" w:hAnsi="Arial Narrow"/>
          <w:sz w:val="26"/>
          <w:szCs w:val="26"/>
          <w:lang w:val="es-MX"/>
        </w:rPr>
      </w:pPr>
    </w:p>
    <w:p w:rsidR="00CA01F2" w:rsidRPr="00077F38" w:rsidRDefault="00CA01F2" w:rsidP="00CA01F2">
      <w:pPr>
        <w:rPr>
          <w:rFonts w:ascii="Arial Narrow" w:hAnsi="Arial Narrow"/>
          <w:b/>
          <w:sz w:val="26"/>
          <w:szCs w:val="26"/>
          <w:lang w:val="es-MX"/>
        </w:rPr>
      </w:pPr>
      <w:r w:rsidRPr="00077F38">
        <w:rPr>
          <w:rFonts w:ascii="Arial Narrow" w:hAnsi="Arial Narrow"/>
          <w:b/>
          <w:sz w:val="26"/>
          <w:szCs w:val="26"/>
          <w:lang w:val="es-MX"/>
        </w:rPr>
        <w:t>Evaluación de la Ejecución Presupuestaria</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Las aplicaciones de</w:t>
      </w:r>
      <w:r w:rsidR="00077F38" w:rsidRPr="00077F38">
        <w:rPr>
          <w:rFonts w:ascii="Arial Narrow" w:hAnsi="Arial Narrow"/>
          <w:sz w:val="26"/>
          <w:szCs w:val="26"/>
          <w:lang w:val="es-MX"/>
        </w:rPr>
        <w:t>ben</w:t>
      </w:r>
      <w:r w:rsidRPr="00077F38">
        <w:rPr>
          <w:rFonts w:ascii="Arial Narrow" w:hAnsi="Arial Narrow"/>
          <w:sz w:val="26"/>
          <w:szCs w:val="26"/>
          <w:lang w:val="es-MX"/>
        </w:rPr>
        <w:t xml:space="preserve"> proporciona</w:t>
      </w:r>
      <w:r w:rsidR="00077F38" w:rsidRPr="00077F38">
        <w:rPr>
          <w:rFonts w:ascii="Arial Narrow" w:hAnsi="Arial Narrow"/>
          <w:sz w:val="26"/>
          <w:szCs w:val="26"/>
          <w:lang w:val="es-MX"/>
        </w:rPr>
        <w:t>r</w:t>
      </w:r>
      <w:r w:rsidRPr="00077F38">
        <w:rPr>
          <w:rFonts w:ascii="Arial Narrow" w:hAnsi="Arial Narrow"/>
          <w:sz w:val="26"/>
          <w:szCs w:val="26"/>
          <w:lang w:val="es-MX"/>
        </w:rPr>
        <w:t xml:space="preserve"> herramientas que permiten el seguimiento de la ejecución presupuestaria tendiente a la aplicación de indicadores de desempeño.</w:t>
      </w:r>
    </w:p>
    <w:p w:rsidR="00CA01F2" w:rsidRDefault="00CA01F2" w:rsidP="00CA01F2">
      <w:pPr>
        <w:jc w:val="both"/>
        <w:rPr>
          <w:rFonts w:ascii="Arial Narrow" w:hAnsi="Arial Narrow"/>
          <w:lang w:val="es-MX"/>
        </w:rPr>
      </w:pPr>
    </w:p>
    <w:p w:rsidR="00CA01F2" w:rsidRDefault="00CA01F2" w:rsidP="00CA01F2">
      <w:pPr>
        <w:jc w:val="both"/>
        <w:rPr>
          <w:rFonts w:ascii="Arial Narrow" w:hAnsi="Arial Narrow"/>
          <w:lang w:val="es-MX"/>
        </w:rPr>
      </w:pPr>
    </w:p>
    <w:p w:rsidR="00CA01F2" w:rsidRDefault="00CA01F2" w:rsidP="00CA01F2">
      <w:pPr>
        <w:jc w:val="both"/>
        <w:rPr>
          <w:rFonts w:ascii="Arial Narrow" w:hAnsi="Arial Narrow"/>
          <w:lang w:val="es-MX"/>
        </w:rPr>
      </w:pPr>
    </w:p>
    <w:p w:rsidR="00CA01F2" w:rsidRDefault="00CA01F2" w:rsidP="00CA01F2">
      <w:pPr>
        <w:jc w:val="both"/>
        <w:rPr>
          <w:rFonts w:ascii="Arial Narrow" w:hAnsi="Arial Narrow"/>
          <w:lang w:val="es-MX"/>
        </w:rPr>
      </w:pPr>
    </w:p>
    <w:p w:rsidR="00CA01F2" w:rsidRPr="00077F38" w:rsidRDefault="00CA01F2" w:rsidP="00CA01F2">
      <w:pPr>
        <w:jc w:val="center"/>
        <w:rPr>
          <w:rFonts w:ascii="Arial Narrow" w:hAnsi="Arial Narrow"/>
          <w:b/>
          <w:sz w:val="26"/>
          <w:szCs w:val="26"/>
          <w:lang w:val="es-MX"/>
        </w:rPr>
      </w:pPr>
      <w:r w:rsidRPr="00077F38">
        <w:rPr>
          <w:rFonts w:ascii="Arial Narrow" w:hAnsi="Arial Narrow"/>
          <w:b/>
          <w:sz w:val="26"/>
          <w:szCs w:val="26"/>
          <w:lang w:val="es-MX"/>
        </w:rPr>
        <w:t>CONTABILIDAD</w:t>
      </w:r>
    </w:p>
    <w:p w:rsidR="00CA01F2" w:rsidRPr="00077F38" w:rsidRDefault="00CA01F2" w:rsidP="00CA01F2">
      <w:pPr>
        <w:jc w:val="center"/>
        <w:rPr>
          <w:rFonts w:ascii="Arial Narrow" w:hAnsi="Arial Narrow"/>
          <w:b/>
          <w:sz w:val="26"/>
          <w:szCs w:val="26"/>
          <w:lang w:val="es-MX"/>
        </w:rPr>
      </w:pPr>
    </w:p>
    <w:p w:rsidR="00CA01F2" w:rsidRPr="00077F38" w:rsidRDefault="00CA01F2" w:rsidP="00CA01F2">
      <w:pPr>
        <w:jc w:val="center"/>
        <w:rPr>
          <w:rFonts w:ascii="Arial Narrow" w:hAnsi="Arial Narrow"/>
          <w:b/>
          <w:sz w:val="26"/>
          <w:szCs w:val="26"/>
          <w:lang w:val="es-MX"/>
        </w:rPr>
      </w:pPr>
    </w:p>
    <w:p w:rsidR="00077F38" w:rsidRDefault="00CA01F2" w:rsidP="00CA01F2">
      <w:pPr>
        <w:jc w:val="both"/>
        <w:rPr>
          <w:rFonts w:ascii="Arial Narrow" w:hAnsi="Arial Narrow"/>
          <w:b/>
          <w:sz w:val="26"/>
          <w:szCs w:val="26"/>
          <w:lang w:val="es-MX"/>
        </w:rPr>
      </w:pPr>
      <w:r w:rsidRPr="00077F38">
        <w:rPr>
          <w:rFonts w:ascii="Arial Narrow" w:hAnsi="Arial Narrow"/>
          <w:b/>
          <w:sz w:val="26"/>
          <w:szCs w:val="26"/>
          <w:lang w:val="es-MX"/>
        </w:rPr>
        <w:t>Administración de la Lista de Cuentas</w:t>
      </w:r>
    </w:p>
    <w:p w:rsidR="00CA01F2" w:rsidRPr="00077F38" w:rsidRDefault="00077F38" w:rsidP="00CA01F2">
      <w:pPr>
        <w:jc w:val="both"/>
        <w:rPr>
          <w:rFonts w:ascii="Arial Narrow" w:hAnsi="Arial Narrow"/>
          <w:b/>
          <w:sz w:val="26"/>
          <w:szCs w:val="26"/>
          <w:lang w:val="es-MX"/>
        </w:rPr>
      </w:pPr>
      <w:r>
        <w:rPr>
          <w:rFonts w:ascii="Arial Narrow" w:hAnsi="Arial Narrow"/>
          <w:sz w:val="26"/>
          <w:szCs w:val="26"/>
          <w:lang w:val="es-MX"/>
        </w:rPr>
        <w:t>P</w:t>
      </w:r>
      <w:r w:rsidR="00CA01F2" w:rsidRPr="00077F38">
        <w:rPr>
          <w:rFonts w:ascii="Arial Narrow" w:hAnsi="Arial Narrow"/>
          <w:sz w:val="26"/>
          <w:szCs w:val="26"/>
          <w:lang w:val="es-MX"/>
        </w:rPr>
        <w:t xml:space="preserve">ara el registro de las operaciones contables y presupuestarias se </w:t>
      </w:r>
      <w:r>
        <w:rPr>
          <w:rFonts w:ascii="Arial Narrow" w:hAnsi="Arial Narrow"/>
          <w:sz w:val="26"/>
          <w:szCs w:val="26"/>
          <w:lang w:val="es-MX"/>
        </w:rPr>
        <w:t>debe</w:t>
      </w:r>
      <w:r w:rsidR="00CA01F2" w:rsidRPr="00077F38">
        <w:rPr>
          <w:rFonts w:ascii="Arial Narrow" w:hAnsi="Arial Narrow"/>
          <w:sz w:val="26"/>
          <w:szCs w:val="26"/>
          <w:lang w:val="es-MX"/>
        </w:rPr>
        <w:t xml:space="preserve"> ajusta</w:t>
      </w:r>
      <w:r>
        <w:rPr>
          <w:rFonts w:ascii="Arial Narrow" w:hAnsi="Arial Narrow"/>
          <w:sz w:val="26"/>
          <w:szCs w:val="26"/>
          <w:lang w:val="es-MX"/>
        </w:rPr>
        <w:t>r</w:t>
      </w:r>
      <w:r w:rsidR="00CA01F2" w:rsidRPr="00077F38">
        <w:rPr>
          <w:rFonts w:ascii="Arial Narrow" w:hAnsi="Arial Narrow"/>
          <w:sz w:val="26"/>
          <w:szCs w:val="26"/>
          <w:lang w:val="es-MX"/>
        </w:rPr>
        <w:t xml:space="preserve"> a la Lista de Cuentas emitida por el CONAC, la cual </w:t>
      </w:r>
      <w:r>
        <w:rPr>
          <w:rFonts w:ascii="Arial Narrow" w:hAnsi="Arial Narrow"/>
          <w:sz w:val="26"/>
          <w:szCs w:val="26"/>
          <w:lang w:val="es-MX"/>
        </w:rPr>
        <w:t>debe</w:t>
      </w:r>
      <w:r w:rsidR="00CA01F2" w:rsidRPr="00077F38">
        <w:rPr>
          <w:rFonts w:ascii="Arial Narrow" w:hAnsi="Arial Narrow"/>
          <w:sz w:val="26"/>
          <w:szCs w:val="26"/>
          <w:lang w:val="es-MX"/>
        </w:rPr>
        <w:t xml:space="preserve"> estructura</w:t>
      </w:r>
      <w:r>
        <w:rPr>
          <w:rFonts w:ascii="Arial Narrow" w:hAnsi="Arial Narrow"/>
          <w:sz w:val="26"/>
          <w:szCs w:val="26"/>
          <w:lang w:val="es-MX"/>
        </w:rPr>
        <w:t>rse</w:t>
      </w:r>
      <w:r w:rsidR="00CA01F2" w:rsidRPr="00077F38">
        <w:rPr>
          <w:rFonts w:ascii="Arial Narrow" w:hAnsi="Arial Narrow"/>
          <w:sz w:val="26"/>
          <w:szCs w:val="26"/>
          <w:lang w:val="es-MX"/>
        </w:rPr>
        <w:t xml:space="preserve"> de manera tal que permit</w:t>
      </w:r>
      <w:r>
        <w:rPr>
          <w:rFonts w:ascii="Arial Narrow" w:hAnsi="Arial Narrow"/>
          <w:sz w:val="26"/>
          <w:szCs w:val="26"/>
          <w:lang w:val="es-MX"/>
        </w:rPr>
        <w:t>a</w:t>
      </w:r>
      <w:r w:rsidR="00CA01F2" w:rsidRPr="00077F38">
        <w:rPr>
          <w:rFonts w:ascii="Arial Narrow" w:hAnsi="Arial Narrow"/>
          <w:sz w:val="26"/>
          <w:szCs w:val="26"/>
          <w:lang w:val="es-MX"/>
        </w:rPr>
        <w:t xml:space="preserve"> la identificación de los niveles requeridos, permitiendo formar agrupaciones que van de conceptos generales a particulares acorde a las necesidades de registro derivadas de la operación económico-financiera de la Institución.</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El sistema numérico adoptado para codificar las cuentas </w:t>
      </w:r>
      <w:r w:rsidR="00077F38">
        <w:rPr>
          <w:rFonts w:ascii="Arial Narrow" w:hAnsi="Arial Narrow"/>
          <w:sz w:val="26"/>
          <w:szCs w:val="26"/>
          <w:lang w:val="es-MX"/>
        </w:rPr>
        <w:t xml:space="preserve"> deberá ser</w:t>
      </w:r>
      <w:r w:rsidRPr="00077F38">
        <w:rPr>
          <w:rFonts w:ascii="Arial Narrow" w:hAnsi="Arial Narrow"/>
          <w:sz w:val="26"/>
          <w:szCs w:val="26"/>
          <w:lang w:val="es-MX"/>
        </w:rPr>
        <w:t xml:space="preserve"> el establecido por el CONAC, por lo cual se identifica</w:t>
      </w:r>
      <w:r w:rsidR="00077F38">
        <w:rPr>
          <w:rFonts w:ascii="Arial Narrow" w:hAnsi="Arial Narrow"/>
          <w:sz w:val="26"/>
          <w:szCs w:val="26"/>
          <w:lang w:val="es-MX"/>
        </w:rPr>
        <w:t>rá</w:t>
      </w:r>
      <w:r w:rsidRPr="00077F38">
        <w:rPr>
          <w:rFonts w:ascii="Arial Narrow" w:hAnsi="Arial Narrow"/>
          <w:sz w:val="26"/>
          <w:szCs w:val="26"/>
          <w:lang w:val="es-MX"/>
        </w:rPr>
        <w:t xml:space="preserve"> la naturaleza y el tipo de las cuentas. Esta lista de cuentas se encuentra armonizada con el Clasificador por Rubro de Ingresos y el Clasificador por Objeto del Gasto, y ha sido codificada a nivel de 4to. dígito, excepto en los casos de algunas cuentas que requieren su apertura a nivel de 5to. dígito, tales como los bienes inmuebles y muebles, los activos intangibles, las depreciaciones y los activos diferidos. Para estos efectos se consideraron las modificaciones menores en el nombre de las cuentas  del “Plan de Cuentas” del Capítulo III del Manual de Contabilidad Gubernamental, que reemplaza a la norma sobre el mismo tema emitida por el CONAC con fecha 1 de diciembre de 2009.</w:t>
      </w: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b/>
          <w:sz w:val="26"/>
          <w:szCs w:val="26"/>
          <w:lang w:val="es-MX"/>
        </w:rPr>
      </w:pPr>
      <w:r w:rsidRPr="00077F38">
        <w:rPr>
          <w:rFonts w:ascii="Arial Narrow" w:hAnsi="Arial Narrow"/>
          <w:b/>
          <w:sz w:val="26"/>
          <w:szCs w:val="26"/>
          <w:lang w:val="es-MX"/>
        </w:rPr>
        <w:t>Matriz de conversión</w:t>
      </w: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La matriz de conversión </w:t>
      </w:r>
      <w:r w:rsidR="00077F38">
        <w:rPr>
          <w:rFonts w:ascii="Arial Narrow" w:hAnsi="Arial Narrow"/>
          <w:sz w:val="26"/>
          <w:szCs w:val="26"/>
          <w:lang w:val="es-MX"/>
        </w:rPr>
        <w:t>debe</w:t>
      </w:r>
      <w:r w:rsidRPr="00077F38">
        <w:rPr>
          <w:rFonts w:ascii="Arial Narrow" w:hAnsi="Arial Narrow"/>
          <w:sz w:val="26"/>
          <w:szCs w:val="26"/>
          <w:lang w:val="es-MX"/>
        </w:rPr>
        <w:t xml:space="preserve"> establece</w:t>
      </w:r>
      <w:r w:rsidR="00077F38">
        <w:rPr>
          <w:rFonts w:ascii="Arial Narrow" w:hAnsi="Arial Narrow"/>
          <w:sz w:val="26"/>
          <w:szCs w:val="26"/>
          <w:lang w:val="es-MX"/>
        </w:rPr>
        <w:t>r</w:t>
      </w:r>
      <w:r w:rsidRPr="00077F38">
        <w:rPr>
          <w:rFonts w:ascii="Arial Narrow" w:hAnsi="Arial Narrow"/>
          <w:sz w:val="26"/>
          <w:szCs w:val="26"/>
          <w:lang w:val="es-MX"/>
        </w:rPr>
        <w:t xml:space="preserve"> las relaciones entre el Plan de Cuentas y los Clasificadores por Objeto del Gasto o el Clasificador por Rubro de Ingresos, permitiendo que toda transacción registrada en los distintos momentos del ejercicio presupuestario, se transforme en un asiento de partida doble en la contabilidad general</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En el caso de los Egresos, la matriz identifica la relación que existe entre cada partida genérica del Clasificador por Objeto de Gasto y el Clasificador por Tipo de Gasto, con las listas de cargo y abono del Plan de Cuentas.</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En el caso de los ingresos, la matriz identifica la relación que existe entre cada Tipo del Clasificador por Rubro de Ingresos, pero como lo que se registra es un abono, permite identificar la cuenta de cargo.</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Esta matriz asegura la producción automática de asientos contables presupuestarios, de los libros y de los diferentes estados presupuestarios, financieros y económicos.</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Entre los principales elementos que se consideran para la definición de las matrices se incluyen: Clasificadores Presupuestarios de Ingresos por Rubros y por Objeto del Gasto, Clasificador por Tipo de Gasto, Plan de Cuentas, el momento contable, el evento (el hecho o proceso) que se registra, los medios de percepción y pago, entre otros. </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En ciertos casos se utilizan también tablas auxiliares o complementarias, que facilitan la relación entre ciertos elementos particulares con las matrices principales.</w:t>
      </w:r>
    </w:p>
    <w:p w:rsidR="00077F38" w:rsidRPr="00077F38" w:rsidRDefault="00077F38" w:rsidP="00CA01F2">
      <w:pPr>
        <w:jc w:val="both"/>
        <w:rPr>
          <w:rFonts w:ascii="Arial Narrow" w:hAnsi="Arial Narrow"/>
          <w:sz w:val="26"/>
          <w:szCs w:val="26"/>
          <w:lang w:val="es-MX"/>
        </w:rPr>
      </w:pP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De esta manera se recoge</w:t>
      </w:r>
      <w:r w:rsidR="00077F38">
        <w:rPr>
          <w:rFonts w:ascii="Arial Narrow" w:hAnsi="Arial Narrow"/>
          <w:sz w:val="26"/>
          <w:szCs w:val="26"/>
          <w:lang w:val="es-MX"/>
        </w:rPr>
        <w:t>rá</w:t>
      </w:r>
      <w:r w:rsidRPr="00077F38">
        <w:rPr>
          <w:rFonts w:ascii="Arial Narrow" w:hAnsi="Arial Narrow"/>
          <w:sz w:val="26"/>
          <w:szCs w:val="26"/>
          <w:lang w:val="es-MX"/>
        </w:rPr>
        <w:t>n todos aquellos datos relativos a la gestión que permiten el adecuado registro de las transacciones de</w:t>
      </w:r>
      <w:r w:rsidR="00077F38">
        <w:rPr>
          <w:rFonts w:ascii="Arial Narrow" w:hAnsi="Arial Narrow"/>
          <w:sz w:val="26"/>
          <w:szCs w:val="26"/>
          <w:lang w:val="es-MX"/>
        </w:rPr>
        <w:t>l ente,</w:t>
      </w:r>
      <w:r w:rsidRPr="00077F38">
        <w:rPr>
          <w:rFonts w:ascii="Arial Narrow" w:hAnsi="Arial Narrow"/>
          <w:sz w:val="26"/>
          <w:szCs w:val="26"/>
          <w:lang w:val="es-MX"/>
        </w:rPr>
        <w:t xml:space="preserve"> generando los asientos que reflejan el efecto patrimonial de la totalidad de las operaciones relativas a la gestión de recursos, de conformidad con lo establecido por los artículos 40 y 41 de la Ley General de Contabilidad Gubernamental, apegándose al control establecido del “Anexo 1: Matrices de conversión” del Manual de contabilidad Gubernamental, que contempla únicamente cuatro matrices: las del devengado y del pagado por el lado de los gastos, y las del devengado y recaudado para los ingresos. </w:t>
      </w: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b/>
          <w:sz w:val="26"/>
          <w:szCs w:val="26"/>
          <w:lang w:val="es-MX"/>
        </w:rPr>
      </w:pPr>
      <w:r w:rsidRPr="00077F38">
        <w:rPr>
          <w:rFonts w:ascii="Arial Narrow" w:hAnsi="Arial Narrow"/>
          <w:b/>
          <w:sz w:val="26"/>
          <w:szCs w:val="26"/>
          <w:lang w:val="es-MX"/>
        </w:rPr>
        <w:t>Registro de gastos</w:t>
      </w:r>
    </w:p>
    <w:p w:rsidR="00CA01F2" w:rsidRDefault="00077F38" w:rsidP="00CA01F2">
      <w:pPr>
        <w:jc w:val="both"/>
        <w:rPr>
          <w:rFonts w:ascii="Arial Narrow" w:hAnsi="Arial Narrow"/>
          <w:sz w:val="26"/>
          <w:szCs w:val="26"/>
          <w:lang w:val="es-MX"/>
        </w:rPr>
      </w:pPr>
      <w:r>
        <w:rPr>
          <w:rFonts w:ascii="Arial Narrow" w:hAnsi="Arial Narrow"/>
          <w:sz w:val="26"/>
          <w:szCs w:val="26"/>
          <w:lang w:val="es-MX"/>
        </w:rPr>
        <w:t>El aplicativo debe permitir</w:t>
      </w:r>
      <w:r w:rsidR="00CA01F2" w:rsidRPr="00077F38">
        <w:rPr>
          <w:rFonts w:ascii="Arial Narrow" w:hAnsi="Arial Narrow"/>
          <w:sz w:val="26"/>
          <w:szCs w:val="26"/>
          <w:lang w:val="es-MX"/>
        </w:rPr>
        <w:t xml:space="preserve"> registrar en las cuentas emitidas por el CONAC, para el gasto y para el pasivo, la ejecución de cualquier gasto realizado por </w:t>
      </w:r>
      <w:r>
        <w:rPr>
          <w:rFonts w:ascii="Arial Narrow" w:hAnsi="Arial Narrow"/>
          <w:sz w:val="26"/>
          <w:szCs w:val="26"/>
          <w:lang w:val="es-MX"/>
        </w:rPr>
        <w:t>el ente.</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En el caso del devengado, el registro se genera de conformidad con lo establecido por La ley General de Contabilidad Gubernamental y el Acuerdo por el que se emiten las Normas y Metodología de los momentos contables de los egresos, generándose de manera automática a la par, el registro del gasto devengado contable y el del momento del devengado presupuestario.</w:t>
      </w:r>
    </w:p>
    <w:p w:rsidR="00077F38" w:rsidRPr="00077F38" w:rsidRDefault="00077F38" w:rsidP="00CA01F2">
      <w:pPr>
        <w:jc w:val="both"/>
        <w:rPr>
          <w:rFonts w:ascii="Arial Narrow" w:hAnsi="Arial Narrow"/>
          <w:sz w:val="26"/>
          <w:szCs w:val="26"/>
          <w:lang w:val="es-MX"/>
        </w:rPr>
      </w:pPr>
    </w:p>
    <w:p w:rsidR="00CA01F2" w:rsidRPr="00077F38" w:rsidRDefault="00CA01F2" w:rsidP="00077F38">
      <w:pPr>
        <w:jc w:val="both"/>
        <w:rPr>
          <w:rFonts w:ascii="Arial Narrow" w:hAnsi="Arial Narrow"/>
          <w:sz w:val="26"/>
          <w:szCs w:val="26"/>
          <w:lang w:val="es-MX"/>
        </w:rPr>
      </w:pPr>
      <w:r w:rsidRPr="00077F38">
        <w:rPr>
          <w:rFonts w:ascii="Arial Narrow" w:hAnsi="Arial Narrow"/>
          <w:sz w:val="26"/>
          <w:szCs w:val="26"/>
          <w:lang w:val="es-MX"/>
        </w:rPr>
        <w:t>Además, conforme a lo establecido en la fracción XIII del artículo PRIMERO del citado Acuerdo que indica: “…excepcionalmente, cuando por la naturaleza de las operaciones no sea posible el registro consecutivo de todos los momentos contables del gasto, se registrarán simultáneamente de acuerdo a lineamientos previamente definidos por las unidades administrativas o instancias competentes en materia del Contabilidad Gubernamental</w:t>
      </w:r>
      <w:r w:rsidR="00077F38">
        <w:rPr>
          <w:rFonts w:ascii="Arial Narrow" w:hAnsi="Arial Narrow"/>
          <w:sz w:val="26"/>
          <w:szCs w:val="26"/>
          <w:lang w:val="es-MX"/>
        </w:rPr>
        <w:t>”</w:t>
      </w:r>
      <w:r w:rsidRPr="00077F38">
        <w:rPr>
          <w:rFonts w:ascii="Arial Narrow" w:hAnsi="Arial Narrow"/>
          <w:sz w:val="26"/>
          <w:szCs w:val="26"/>
          <w:lang w:val="es-MX"/>
        </w:rPr>
        <w:t xml:space="preserve"> </w:t>
      </w: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sz w:val="26"/>
          <w:szCs w:val="26"/>
          <w:lang w:val="es-MX"/>
        </w:rPr>
      </w:pPr>
    </w:p>
    <w:p w:rsidR="00CA01F2" w:rsidRPr="00077F38" w:rsidRDefault="00CA01F2" w:rsidP="00CA01F2">
      <w:pPr>
        <w:jc w:val="both"/>
        <w:rPr>
          <w:rFonts w:ascii="Arial Narrow" w:hAnsi="Arial Narrow" w:cs="Arial"/>
          <w:b/>
          <w:sz w:val="26"/>
          <w:szCs w:val="26"/>
          <w:lang w:val="es-MX"/>
        </w:rPr>
      </w:pPr>
      <w:r w:rsidRPr="00077F38">
        <w:rPr>
          <w:rFonts w:ascii="Arial Narrow" w:hAnsi="Arial Narrow" w:cs="Arial"/>
          <w:b/>
          <w:sz w:val="26"/>
          <w:szCs w:val="26"/>
          <w:lang w:val="es-MX"/>
        </w:rPr>
        <w:t>Registro de ingresos</w:t>
      </w:r>
    </w:p>
    <w:p w:rsid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El aplicativo de</w:t>
      </w:r>
      <w:r w:rsidR="00077F38">
        <w:rPr>
          <w:rFonts w:ascii="Arial Narrow" w:hAnsi="Arial Narrow"/>
          <w:sz w:val="26"/>
          <w:szCs w:val="26"/>
          <w:lang w:val="es-MX"/>
        </w:rPr>
        <w:t>be permitir</w:t>
      </w:r>
      <w:r w:rsidRPr="00077F38">
        <w:rPr>
          <w:rFonts w:ascii="Arial Narrow" w:hAnsi="Arial Narrow"/>
          <w:sz w:val="26"/>
          <w:szCs w:val="26"/>
          <w:lang w:val="es-MX"/>
        </w:rPr>
        <w:t xml:space="preserve"> </w:t>
      </w:r>
      <w:r w:rsidR="00077F38">
        <w:rPr>
          <w:rFonts w:ascii="Arial Narrow" w:hAnsi="Arial Narrow"/>
          <w:sz w:val="26"/>
          <w:szCs w:val="26"/>
          <w:lang w:val="es-MX"/>
        </w:rPr>
        <w:t>r</w:t>
      </w:r>
      <w:r w:rsidRPr="00077F38">
        <w:rPr>
          <w:rFonts w:ascii="Arial Narrow" w:hAnsi="Arial Narrow"/>
          <w:sz w:val="26"/>
          <w:szCs w:val="26"/>
          <w:lang w:val="es-MX"/>
        </w:rPr>
        <w:t xml:space="preserve">egistrar en las cuentas emitidas por el CONAC, para el ingreso y para el activo, cualquier ingreso percibido por </w:t>
      </w:r>
      <w:r w:rsidR="00077F38">
        <w:rPr>
          <w:rFonts w:ascii="Arial Narrow" w:hAnsi="Arial Narrow"/>
          <w:sz w:val="26"/>
          <w:szCs w:val="26"/>
          <w:lang w:val="es-MX"/>
        </w:rPr>
        <w:t>el ente.</w:t>
      </w:r>
    </w:p>
    <w:p w:rsidR="00CA01F2" w:rsidRPr="00077F38"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 </w:t>
      </w: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En el caso del devengado el registro se genera de conformidad con lo establecido por La ley General de Contabilidad Gubernamental y el Acuerdo por el que se emiten las Normas y Metodología de los momentos contables de los Ingresos, generándose de manera automática a la par, el registro del ingreso devengado contable y el del momento del devengado presupuestario.</w:t>
      </w:r>
    </w:p>
    <w:p w:rsidR="00077F38" w:rsidRPr="00077F38" w:rsidRDefault="00077F38" w:rsidP="00CA01F2">
      <w:pPr>
        <w:jc w:val="both"/>
        <w:rPr>
          <w:rFonts w:ascii="Arial Narrow" w:hAnsi="Arial Narrow"/>
          <w:sz w:val="26"/>
          <w:szCs w:val="26"/>
          <w:lang w:val="es-MX"/>
        </w:rPr>
      </w:pPr>
    </w:p>
    <w:p w:rsidR="00CA01F2" w:rsidRDefault="00CA01F2" w:rsidP="00CA01F2">
      <w:pPr>
        <w:jc w:val="both"/>
        <w:rPr>
          <w:rFonts w:ascii="Arial Narrow" w:hAnsi="Arial Narrow"/>
          <w:sz w:val="26"/>
          <w:szCs w:val="26"/>
          <w:lang w:val="es-MX"/>
        </w:rPr>
      </w:pPr>
      <w:r w:rsidRPr="00077F38">
        <w:rPr>
          <w:rFonts w:ascii="Arial Narrow" w:hAnsi="Arial Narrow"/>
          <w:sz w:val="26"/>
          <w:szCs w:val="26"/>
          <w:lang w:val="es-MX"/>
        </w:rPr>
        <w:t xml:space="preserve">En las guías contabilizadoras del Manual de Contabilidad </w:t>
      </w:r>
      <w:r w:rsidR="00077F38">
        <w:rPr>
          <w:rFonts w:ascii="Arial Narrow" w:hAnsi="Arial Narrow"/>
          <w:sz w:val="26"/>
          <w:szCs w:val="26"/>
          <w:lang w:val="es-MX"/>
        </w:rPr>
        <w:t>deben</w:t>
      </w:r>
      <w:r w:rsidRPr="00077F38">
        <w:rPr>
          <w:rFonts w:ascii="Arial Narrow" w:hAnsi="Arial Narrow"/>
          <w:sz w:val="26"/>
          <w:szCs w:val="26"/>
          <w:lang w:val="es-MX"/>
        </w:rPr>
        <w:t xml:space="preserve"> m</w:t>
      </w:r>
      <w:r w:rsidR="00077F38">
        <w:rPr>
          <w:rFonts w:ascii="Arial Narrow" w:hAnsi="Arial Narrow"/>
          <w:sz w:val="26"/>
          <w:szCs w:val="26"/>
          <w:lang w:val="es-MX"/>
        </w:rPr>
        <w:t>ostrarse</w:t>
      </w:r>
      <w:r w:rsidRPr="00077F38">
        <w:rPr>
          <w:rFonts w:ascii="Arial Narrow" w:hAnsi="Arial Narrow"/>
          <w:sz w:val="26"/>
          <w:szCs w:val="26"/>
          <w:lang w:val="es-MX"/>
        </w:rPr>
        <w:t xml:space="preserve"> los momentos de registro de cada uno de los procesos administrativo/financieros de ingresos y los asientos que se </w:t>
      </w:r>
      <w:r w:rsidRPr="00077F38">
        <w:rPr>
          <w:rFonts w:ascii="Arial Narrow" w:hAnsi="Arial Narrow"/>
          <w:sz w:val="26"/>
          <w:szCs w:val="26"/>
          <w:lang w:val="es-MX"/>
        </w:rPr>
        <w:lastRenderedPageBreak/>
        <w:t xml:space="preserve">generan a partir de aquéllos, indicando para cada uno de ellos su oportunidad y el documento soporte de los mismos. </w:t>
      </w:r>
    </w:p>
    <w:p w:rsidR="006E5ACE" w:rsidRPr="00077F38" w:rsidRDefault="006E5ACE" w:rsidP="00CA01F2">
      <w:pPr>
        <w:jc w:val="both"/>
        <w:rPr>
          <w:rFonts w:ascii="Arial Narrow" w:hAnsi="Arial Narrow"/>
          <w:sz w:val="26"/>
          <w:szCs w:val="26"/>
          <w:lang w:val="es-MX"/>
        </w:rPr>
      </w:pPr>
    </w:p>
    <w:p w:rsidR="00CA01F2" w:rsidRPr="00077F38" w:rsidRDefault="00CA01F2" w:rsidP="00CA01F2">
      <w:pPr>
        <w:jc w:val="both"/>
        <w:rPr>
          <w:rFonts w:ascii="Arial Narrow" w:hAnsi="Arial Narrow" w:cs="Arial"/>
          <w:b/>
          <w:sz w:val="26"/>
          <w:szCs w:val="26"/>
          <w:lang w:val="es-MX"/>
        </w:rPr>
      </w:pPr>
      <w:r w:rsidRPr="00077F38">
        <w:rPr>
          <w:rFonts w:ascii="Arial Narrow" w:hAnsi="Arial Narrow" w:cs="Arial"/>
          <w:b/>
          <w:sz w:val="26"/>
          <w:szCs w:val="26"/>
          <w:lang w:val="es-MX"/>
        </w:rPr>
        <w:t>Registro del activo</w:t>
      </w:r>
    </w:p>
    <w:p w:rsidR="00CA01F2" w:rsidRDefault="00CA01F2" w:rsidP="00CA01F2">
      <w:pPr>
        <w:jc w:val="both"/>
        <w:rPr>
          <w:rFonts w:ascii="Arial Narrow" w:hAnsi="Arial Narrow" w:cs="Arial"/>
          <w:sz w:val="26"/>
          <w:szCs w:val="26"/>
          <w:lang w:val="es-MX"/>
        </w:rPr>
      </w:pPr>
      <w:r w:rsidRPr="00077F38">
        <w:rPr>
          <w:rFonts w:ascii="Arial Narrow" w:hAnsi="Arial Narrow" w:cs="Arial"/>
          <w:sz w:val="26"/>
          <w:szCs w:val="26"/>
          <w:lang w:val="es-MX"/>
        </w:rPr>
        <w:t>El sistema de</w:t>
      </w:r>
      <w:r w:rsidR="006E5ACE">
        <w:rPr>
          <w:rFonts w:ascii="Arial Narrow" w:hAnsi="Arial Narrow" w:cs="Arial"/>
          <w:sz w:val="26"/>
          <w:szCs w:val="26"/>
          <w:lang w:val="es-MX"/>
        </w:rPr>
        <w:t>be realizar</w:t>
      </w:r>
      <w:r w:rsidRPr="00077F38">
        <w:rPr>
          <w:rFonts w:ascii="Arial Narrow" w:hAnsi="Arial Narrow" w:cs="Arial"/>
          <w:sz w:val="26"/>
          <w:szCs w:val="26"/>
          <w:lang w:val="es-MX"/>
        </w:rPr>
        <w:t xml:space="preserve"> el registro de los bienes muebles e inmuebles, de las obras en proceso, de los inventarios y de los contratos sobre los que tiene derecho, en cuentas específicas del activo.</w:t>
      </w:r>
    </w:p>
    <w:p w:rsidR="006E5ACE" w:rsidRPr="00077F38" w:rsidRDefault="006E5ACE" w:rsidP="00CA01F2">
      <w:pPr>
        <w:jc w:val="both"/>
        <w:rPr>
          <w:rFonts w:ascii="Arial Narrow" w:hAnsi="Arial Narrow" w:cs="Arial"/>
          <w:sz w:val="26"/>
          <w:szCs w:val="26"/>
          <w:lang w:val="es-MX"/>
        </w:rPr>
      </w:pPr>
    </w:p>
    <w:p w:rsidR="00CA01F2" w:rsidRPr="00077F38" w:rsidRDefault="00CA01F2" w:rsidP="00CA01F2">
      <w:pPr>
        <w:jc w:val="both"/>
        <w:rPr>
          <w:rFonts w:ascii="Arial Narrow" w:hAnsi="Arial Narrow" w:cs="Arial"/>
          <w:sz w:val="26"/>
          <w:szCs w:val="26"/>
          <w:lang w:val="es-MX"/>
        </w:rPr>
      </w:pPr>
      <w:r w:rsidRPr="00077F38">
        <w:rPr>
          <w:rFonts w:ascii="Arial Narrow" w:hAnsi="Arial Narrow" w:cs="Arial"/>
          <w:sz w:val="26"/>
          <w:szCs w:val="26"/>
          <w:lang w:val="es-MX"/>
        </w:rPr>
        <w:t xml:space="preserve">Por su parte, los Instructivos de manejo de cuentas </w:t>
      </w:r>
      <w:r w:rsidR="006E5ACE">
        <w:rPr>
          <w:rFonts w:ascii="Arial Narrow" w:hAnsi="Arial Narrow" w:cs="Arial"/>
          <w:sz w:val="26"/>
          <w:szCs w:val="26"/>
          <w:lang w:val="es-MX"/>
        </w:rPr>
        <w:t>deberán indicar</w:t>
      </w:r>
      <w:r w:rsidRPr="00077F38">
        <w:rPr>
          <w:rFonts w:ascii="Arial Narrow" w:hAnsi="Arial Narrow" w:cs="Arial"/>
          <w:sz w:val="26"/>
          <w:szCs w:val="26"/>
          <w:lang w:val="es-MX"/>
        </w:rPr>
        <w:t xml:space="preserve"> la clasificación y la naturaleza, así como las causas por las cuales se pueden cargar o abonar cada una de las cuentas identificadas en el catálogo, las cuentas que operan contra las mismas en el sistema por partida doble e indica cómo interpretar su saldo, lo cual permite, entre otras cosas, la identificación de los saldos iniciales de cada una de las cuentas.</w:t>
      </w:r>
    </w:p>
    <w:p w:rsidR="00CA01F2" w:rsidRPr="00077F38" w:rsidRDefault="00CA01F2" w:rsidP="00CA01F2">
      <w:pPr>
        <w:jc w:val="both"/>
        <w:rPr>
          <w:rFonts w:ascii="Arial Narrow" w:hAnsi="Arial Narrow" w:cs="Arial"/>
          <w:sz w:val="26"/>
          <w:szCs w:val="26"/>
          <w:lang w:val="es-MX"/>
        </w:rPr>
      </w:pPr>
      <w:r w:rsidRPr="00077F38">
        <w:rPr>
          <w:rFonts w:ascii="Arial Narrow" w:hAnsi="Arial Narrow" w:cs="Arial"/>
          <w:sz w:val="26"/>
          <w:szCs w:val="26"/>
          <w:lang w:val="es-MX"/>
        </w:rPr>
        <w:t xml:space="preserve">Permite identificar de manera agrupada por cuenta, los rubros de Bienes Muebles e Inmuebles, el monto de la depreciación del ejercicio y de la acumulada, el método de depreciación y las tasas aplicadas. </w:t>
      </w:r>
    </w:p>
    <w:p w:rsidR="00CA01F2" w:rsidRPr="00077F38" w:rsidRDefault="00CA01F2" w:rsidP="00CA01F2">
      <w:pPr>
        <w:jc w:val="both"/>
        <w:rPr>
          <w:rFonts w:ascii="Arial Narrow" w:hAnsi="Arial Narrow" w:cs="Arial"/>
          <w:sz w:val="26"/>
          <w:szCs w:val="26"/>
          <w:lang w:val="es-MX"/>
        </w:rPr>
      </w:pPr>
    </w:p>
    <w:p w:rsidR="00CA01F2" w:rsidRPr="00077F38" w:rsidRDefault="00CA01F2" w:rsidP="00CA01F2">
      <w:pPr>
        <w:jc w:val="both"/>
        <w:rPr>
          <w:rFonts w:ascii="Arial Narrow" w:hAnsi="Arial Narrow" w:cs="Arial"/>
          <w:sz w:val="26"/>
          <w:szCs w:val="26"/>
          <w:lang w:val="es-MX"/>
        </w:rPr>
      </w:pPr>
    </w:p>
    <w:p w:rsidR="00CA01F2" w:rsidRPr="006E5ACE" w:rsidRDefault="00CA01F2" w:rsidP="00CA01F2">
      <w:pPr>
        <w:jc w:val="center"/>
        <w:rPr>
          <w:rFonts w:ascii="Arial Narrow" w:hAnsi="Arial Narrow" w:cs="Arial"/>
          <w:b/>
          <w:sz w:val="26"/>
          <w:szCs w:val="26"/>
          <w:lang w:val="es-MX"/>
        </w:rPr>
      </w:pPr>
      <w:r w:rsidRPr="006E5ACE">
        <w:rPr>
          <w:rFonts w:ascii="Arial Narrow" w:hAnsi="Arial Narrow" w:cs="Arial"/>
          <w:b/>
          <w:sz w:val="26"/>
          <w:szCs w:val="26"/>
          <w:lang w:val="es-MX"/>
        </w:rPr>
        <w:t>Explotación de información en tiempo real</w:t>
      </w:r>
    </w:p>
    <w:p w:rsidR="00CA01F2" w:rsidRPr="006E5ACE" w:rsidRDefault="00CA01F2" w:rsidP="00CA01F2">
      <w:pPr>
        <w:jc w:val="center"/>
        <w:rPr>
          <w:rFonts w:ascii="Arial Narrow" w:hAnsi="Arial Narrow" w:cs="Arial"/>
          <w:b/>
          <w:sz w:val="26"/>
          <w:szCs w:val="26"/>
          <w:lang w:val="es-MX"/>
        </w:rPr>
      </w:pPr>
    </w:p>
    <w:p w:rsidR="00CA01F2" w:rsidRPr="006E5ACE" w:rsidRDefault="00CA01F2" w:rsidP="00CA01F2">
      <w:pPr>
        <w:jc w:val="both"/>
        <w:rPr>
          <w:rFonts w:ascii="Arial Narrow" w:hAnsi="Arial Narrow" w:cs="Arial"/>
          <w:b/>
          <w:sz w:val="26"/>
          <w:szCs w:val="26"/>
          <w:lang w:val="es-MX"/>
        </w:rPr>
      </w:pPr>
      <w:r w:rsidRPr="006E5ACE">
        <w:rPr>
          <w:rFonts w:ascii="Arial Narrow" w:hAnsi="Arial Narrow" w:cs="Arial"/>
          <w:b/>
          <w:sz w:val="26"/>
          <w:szCs w:val="26"/>
          <w:lang w:val="es-MX"/>
        </w:rPr>
        <w:t>Estados financieros</w:t>
      </w:r>
    </w:p>
    <w:p w:rsidR="00CA01F2" w:rsidRPr="006E5ACE" w:rsidRDefault="00CA01F2" w:rsidP="00CA01F2">
      <w:pPr>
        <w:jc w:val="both"/>
        <w:rPr>
          <w:rFonts w:ascii="Arial Narrow" w:hAnsi="Arial Narrow" w:cs="Arial"/>
          <w:sz w:val="26"/>
          <w:szCs w:val="26"/>
          <w:lang w:val="es-MX"/>
        </w:rPr>
      </w:pPr>
      <w:r w:rsidRPr="006E5ACE">
        <w:rPr>
          <w:rFonts w:ascii="Arial Narrow" w:hAnsi="Arial Narrow" w:cs="Arial"/>
          <w:sz w:val="26"/>
          <w:szCs w:val="26"/>
          <w:lang w:val="es-MX"/>
        </w:rPr>
        <w:t>El aplicativo de</w:t>
      </w:r>
      <w:r w:rsidR="006E5ACE">
        <w:rPr>
          <w:rFonts w:ascii="Arial Narrow" w:hAnsi="Arial Narrow" w:cs="Arial"/>
          <w:sz w:val="26"/>
          <w:szCs w:val="26"/>
          <w:lang w:val="es-MX"/>
        </w:rPr>
        <w:t>l ente</w:t>
      </w:r>
      <w:r w:rsidRPr="006E5ACE">
        <w:rPr>
          <w:rFonts w:ascii="Arial Narrow" w:hAnsi="Arial Narrow" w:cs="Arial"/>
          <w:sz w:val="26"/>
          <w:szCs w:val="26"/>
          <w:lang w:val="es-MX"/>
        </w:rPr>
        <w:t xml:space="preserve"> </w:t>
      </w:r>
      <w:r w:rsidR="006E5ACE">
        <w:rPr>
          <w:rFonts w:ascii="Arial Narrow" w:hAnsi="Arial Narrow" w:cs="Arial"/>
          <w:sz w:val="26"/>
          <w:szCs w:val="26"/>
          <w:lang w:val="es-MX"/>
        </w:rPr>
        <w:t>deberá</w:t>
      </w:r>
      <w:r w:rsidRPr="006E5ACE">
        <w:rPr>
          <w:rFonts w:ascii="Arial Narrow" w:hAnsi="Arial Narrow" w:cs="Arial"/>
          <w:sz w:val="26"/>
          <w:szCs w:val="26"/>
          <w:lang w:val="es-MX"/>
        </w:rPr>
        <w:t xml:space="preserve"> m</w:t>
      </w:r>
      <w:r w:rsidR="006E5ACE">
        <w:rPr>
          <w:rFonts w:ascii="Arial Narrow" w:hAnsi="Arial Narrow" w:cs="Arial"/>
          <w:sz w:val="26"/>
          <w:szCs w:val="26"/>
          <w:lang w:val="es-MX"/>
        </w:rPr>
        <w:t>ostrar</w:t>
      </w:r>
      <w:r w:rsidRPr="006E5ACE">
        <w:rPr>
          <w:rFonts w:ascii="Arial Narrow" w:hAnsi="Arial Narrow" w:cs="Arial"/>
          <w:sz w:val="26"/>
          <w:szCs w:val="26"/>
          <w:lang w:val="es-MX"/>
        </w:rPr>
        <w:t xml:space="preserve"> los estados financieros, reportes e información requerida en el Capítulo VII del Manual de Contabilidad Gubernamental  denominado “Normas y Metodología para la emisión de Información Financiera y estructura de los Estados Financieros Básicos del Ente Público y Características de sus Notas.”</w:t>
      </w:r>
    </w:p>
    <w:p w:rsidR="00CA01F2" w:rsidRPr="006E5ACE" w:rsidRDefault="00CA01F2" w:rsidP="00CA01F2">
      <w:pPr>
        <w:jc w:val="both"/>
        <w:rPr>
          <w:rFonts w:ascii="Arial Narrow" w:hAnsi="Arial Narrow" w:cs="Arial"/>
          <w:sz w:val="26"/>
          <w:szCs w:val="26"/>
          <w:lang w:val="es-MX"/>
        </w:rPr>
      </w:pPr>
      <w:r w:rsidRPr="006E5ACE">
        <w:rPr>
          <w:rFonts w:ascii="Arial Narrow" w:hAnsi="Arial Narrow" w:cs="Arial"/>
          <w:sz w:val="26"/>
          <w:szCs w:val="26"/>
          <w:lang w:val="es-MX"/>
        </w:rPr>
        <w:t xml:space="preserve">Asimismo, el aplicativo </w:t>
      </w:r>
      <w:r w:rsidR="006E5ACE">
        <w:rPr>
          <w:rFonts w:ascii="Arial Narrow" w:hAnsi="Arial Narrow" w:cs="Arial"/>
          <w:sz w:val="26"/>
          <w:szCs w:val="26"/>
          <w:lang w:val="es-MX"/>
        </w:rPr>
        <w:t xml:space="preserve">deberá contar </w:t>
      </w:r>
      <w:r w:rsidRPr="006E5ACE">
        <w:rPr>
          <w:rFonts w:ascii="Arial Narrow" w:hAnsi="Arial Narrow" w:cs="Arial"/>
          <w:sz w:val="26"/>
          <w:szCs w:val="26"/>
          <w:lang w:val="es-MX"/>
        </w:rPr>
        <w:t>con mecanismos dinámicos de extracción de información bajo cualquier elemento contable o presupuestario parametrizables de acuerdo a las necesidades de los usuarios de la información.</w:t>
      </w:r>
    </w:p>
    <w:p w:rsidR="00CA01F2" w:rsidRPr="006E5ACE" w:rsidRDefault="00CA01F2" w:rsidP="00CA01F2">
      <w:pPr>
        <w:jc w:val="both"/>
        <w:rPr>
          <w:rFonts w:ascii="Arial Narrow" w:hAnsi="Arial Narrow" w:cs="Arial"/>
          <w:sz w:val="26"/>
          <w:szCs w:val="26"/>
          <w:lang w:val="es-MX"/>
        </w:rPr>
      </w:pPr>
    </w:p>
    <w:p w:rsidR="00CA01F2" w:rsidRDefault="00CA01F2"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D638D7" w:rsidRDefault="00D638D7"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CA01F2" w:rsidRPr="008C5473" w:rsidRDefault="008C5473" w:rsidP="00CA01F2">
      <w:pPr>
        <w:jc w:val="both"/>
        <w:rPr>
          <w:rFonts w:ascii="Arial Narrow" w:hAnsi="Arial Narrow" w:cs="Arial"/>
          <w:b/>
          <w:sz w:val="28"/>
          <w:szCs w:val="28"/>
          <w:lang w:val="es-MX"/>
        </w:rPr>
      </w:pPr>
      <w:r w:rsidRPr="008C5473">
        <w:rPr>
          <w:rFonts w:ascii="Arial Narrow" w:hAnsi="Arial Narrow" w:cs="Arial"/>
          <w:b/>
          <w:sz w:val="28"/>
          <w:szCs w:val="28"/>
          <w:lang w:val="es-MX"/>
        </w:rPr>
        <w:lastRenderedPageBreak/>
        <w:t xml:space="preserve">3.2 </w:t>
      </w:r>
      <w:r>
        <w:rPr>
          <w:rFonts w:ascii="Arial Narrow" w:hAnsi="Arial Narrow" w:cs="Arial"/>
          <w:b/>
          <w:sz w:val="28"/>
          <w:szCs w:val="28"/>
          <w:lang w:val="es-MX"/>
        </w:rPr>
        <w:t xml:space="preserve">  </w:t>
      </w:r>
      <w:r w:rsidRPr="008C5473">
        <w:rPr>
          <w:rFonts w:ascii="Arial Narrow" w:hAnsi="Arial Narrow" w:cs="Arial"/>
          <w:b/>
          <w:sz w:val="28"/>
          <w:szCs w:val="28"/>
          <w:lang w:val="es-MX"/>
        </w:rPr>
        <w:t>PLAN DE CUENTAS</w:t>
      </w:r>
    </w:p>
    <w:p w:rsidR="008C5473" w:rsidRPr="008C5473" w:rsidRDefault="008C5473" w:rsidP="00CA01F2">
      <w:pPr>
        <w:jc w:val="both"/>
        <w:rPr>
          <w:rFonts w:ascii="Arial Narrow" w:hAnsi="Arial Narrow" w:cs="Arial"/>
          <w:b/>
          <w:sz w:val="28"/>
          <w:szCs w:val="28"/>
          <w:lang w:val="es-MX"/>
        </w:rPr>
      </w:pPr>
    </w:p>
    <w:p w:rsidR="008C5473" w:rsidRDefault="008C5473" w:rsidP="00CA01F2">
      <w:pPr>
        <w:jc w:val="both"/>
        <w:rPr>
          <w:rFonts w:ascii="Arial Narrow" w:hAnsi="Arial Narrow" w:cs="Arial"/>
          <w:lang w:val="es-MX"/>
        </w:rPr>
      </w:pPr>
    </w:p>
    <w:p w:rsidR="00A02FE1" w:rsidRPr="00A02FE1" w:rsidRDefault="00A02FE1" w:rsidP="00A02FE1">
      <w:pPr>
        <w:jc w:val="both"/>
        <w:rPr>
          <w:rFonts w:ascii="Times New Roman" w:hAnsi="Times New Roman"/>
          <w:sz w:val="28"/>
          <w:szCs w:val="28"/>
          <w:lang w:val="es-MX"/>
        </w:rPr>
      </w:pPr>
      <w:r w:rsidRPr="00A02FE1">
        <w:rPr>
          <w:rFonts w:ascii="Times New Roman" w:hAnsi="Times New Roman"/>
          <w:sz w:val="28"/>
          <w:szCs w:val="28"/>
          <w:lang w:val="es-MX"/>
        </w:rPr>
        <w:t xml:space="preserve">     La Ley de Contabilidad, define la Lista de Cuentas como “la relación ordenada y detallada de las cuentas contables, mediante la cual se clasifican el activo, pasivo y hacienda pública o patrimonio, los ingresos y gastos públicos, y cuentas denominadas de orden o memoranda”. </w:t>
      </w:r>
      <w:r>
        <w:rPr>
          <w:rFonts w:ascii="Times New Roman" w:hAnsi="Times New Roman"/>
          <w:sz w:val="28"/>
          <w:szCs w:val="28"/>
          <w:lang w:val="es-MX"/>
        </w:rPr>
        <w:t>El ente</w:t>
      </w:r>
      <w:r w:rsidRPr="00A02FE1">
        <w:rPr>
          <w:rFonts w:ascii="Times New Roman" w:hAnsi="Times New Roman"/>
          <w:sz w:val="28"/>
          <w:szCs w:val="28"/>
          <w:lang w:val="es-MX"/>
        </w:rPr>
        <w:t xml:space="preserve">, de acuerdo con lo establecido en el Artículo Cuarto Transitorio de la Ley de Contabilidad, </w:t>
      </w:r>
      <w:r>
        <w:rPr>
          <w:rFonts w:ascii="Times New Roman" w:hAnsi="Times New Roman"/>
          <w:sz w:val="28"/>
          <w:szCs w:val="28"/>
          <w:lang w:val="es-MX"/>
        </w:rPr>
        <w:t xml:space="preserve">debe </w:t>
      </w:r>
      <w:r w:rsidRPr="00A02FE1">
        <w:rPr>
          <w:rFonts w:ascii="Times New Roman" w:hAnsi="Times New Roman"/>
          <w:sz w:val="28"/>
          <w:szCs w:val="28"/>
          <w:lang w:val="es-MX"/>
        </w:rPr>
        <w:t>disp</w:t>
      </w:r>
      <w:r>
        <w:rPr>
          <w:rFonts w:ascii="Times New Roman" w:hAnsi="Times New Roman"/>
          <w:sz w:val="28"/>
          <w:szCs w:val="28"/>
          <w:lang w:val="es-MX"/>
        </w:rPr>
        <w:t>oner</w:t>
      </w:r>
      <w:r w:rsidRPr="00A02FE1">
        <w:rPr>
          <w:rFonts w:ascii="Times New Roman" w:hAnsi="Times New Roman"/>
          <w:sz w:val="28"/>
          <w:szCs w:val="28"/>
          <w:lang w:val="es-MX"/>
        </w:rPr>
        <w:t xml:space="preserve"> de la Lista de Cuentas, alineada al Plan de Cuentas, clasificadores presupuestarios armonizados y el Catálogo de Bienes.</w:t>
      </w: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38156B" w:rsidP="00CA01F2">
      <w:pPr>
        <w:jc w:val="both"/>
        <w:rPr>
          <w:rFonts w:ascii="Arial Narrow" w:hAnsi="Arial Narrow" w:cs="Arial"/>
          <w:lang w:val="es-MX"/>
        </w:rPr>
      </w:pPr>
      <w:r w:rsidRPr="0038156B">
        <w:rPr>
          <w:rFonts w:ascii="Times New Roman" w:hAnsi="Times New Roman"/>
          <w:sz w:val="22"/>
          <w:szCs w:val="22"/>
          <w:lang w:val="es-MX" w:eastAsia="es-MX"/>
        </w:rPr>
        <w:object w:dxaOrig="7191" w:dyaOrig="5402">
          <v:shape id="_x0000_i1062" type="#_x0000_t75" style="width:477.75pt;height:355.5pt" o:ole="">
            <v:imagedata r:id="rId82" o:title=""/>
          </v:shape>
          <o:OLEObject Type="Embed" ProgID="PowerPoint.Slide.12" ShapeID="_x0000_i1062" DrawAspect="Content" ObjectID="_1406475771" r:id="rId83"/>
        </w:object>
      </w:r>
    </w:p>
    <w:p w:rsidR="008C5473" w:rsidRDefault="008C5473"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D7B3A" w:rsidP="00CA01F2">
      <w:pPr>
        <w:jc w:val="both"/>
        <w:rPr>
          <w:rFonts w:ascii="Arial Narrow" w:hAnsi="Arial Narrow" w:cs="Arial"/>
          <w:lang w:val="es-MX"/>
        </w:rPr>
      </w:pPr>
      <w:r w:rsidRPr="003D7B3A">
        <w:rPr>
          <w:rFonts w:ascii="Times New Roman" w:hAnsi="Times New Roman"/>
          <w:sz w:val="22"/>
          <w:szCs w:val="22"/>
          <w:lang w:val="es-MX" w:eastAsia="es-MX"/>
        </w:rPr>
        <w:object w:dxaOrig="7176" w:dyaOrig="5391">
          <v:shape id="_x0000_i1063" type="#_x0000_t75" style="width:464.25pt;height:269.25pt" o:ole="">
            <v:imagedata r:id="rId84" o:title=""/>
          </v:shape>
          <o:OLEObject Type="Embed" ProgID="PowerPoint.Slide.12" ShapeID="_x0000_i1063" DrawAspect="Content" ObjectID="_1406475772" r:id="rId85"/>
        </w:object>
      </w:r>
    </w:p>
    <w:p w:rsidR="00334FBF" w:rsidRDefault="001647F0" w:rsidP="00CA01F2">
      <w:pPr>
        <w:jc w:val="both"/>
        <w:rPr>
          <w:rFonts w:ascii="Arial Narrow" w:hAnsi="Arial Narrow" w:cs="Arial"/>
          <w:lang w:val="es-MX"/>
        </w:rPr>
      </w:pPr>
      <w:r w:rsidRPr="009A176E">
        <w:rPr>
          <w:rFonts w:ascii="Times New Roman" w:hAnsi="Times New Roman"/>
          <w:sz w:val="22"/>
          <w:szCs w:val="22"/>
          <w:lang w:val="es-MX" w:eastAsia="es-MX"/>
        </w:rPr>
        <w:object w:dxaOrig="7176" w:dyaOrig="5391">
          <v:shape id="_x0000_i1064" type="#_x0000_t75" style="width:477pt;height:269.25pt" o:ole="">
            <v:imagedata r:id="rId86" o:title=""/>
          </v:shape>
          <o:OLEObject Type="Embed" ProgID="PowerPoint.Slide.12" ShapeID="_x0000_i1064" DrawAspect="Content" ObjectID="_1406475773" r:id="rId87"/>
        </w:object>
      </w:r>
    </w:p>
    <w:p w:rsidR="00334FBF" w:rsidRDefault="00334FBF" w:rsidP="00CA01F2">
      <w:pPr>
        <w:jc w:val="both"/>
        <w:rPr>
          <w:rFonts w:ascii="Arial Narrow" w:hAnsi="Arial Narrow" w:cs="Arial"/>
          <w:lang w:val="es-MX"/>
        </w:rPr>
      </w:pPr>
    </w:p>
    <w:p w:rsidR="00334FBF" w:rsidRDefault="003D7B3A" w:rsidP="00CA01F2">
      <w:pPr>
        <w:jc w:val="both"/>
        <w:rPr>
          <w:rFonts w:ascii="Arial Narrow" w:hAnsi="Arial Narrow" w:cs="Arial"/>
          <w:lang w:val="es-MX"/>
        </w:rPr>
      </w:pPr>
      <w:r w:rsidRPr="003D7B3A">
        <w:rPr>
          <w:noProof/>
          <w:lang w:val="es-MX" w:eastAsia="es-MX"/>
        </w:rPr>
        <w:lastRenderedPageBreak/>
        <w:drawing>
          <wp:inline distT="0" distB="0" distL="0" distR="0">
            <wp:extent cx="5940425" cy="6844565"/>
            <wp:effectExtent l="19050" t="0" r="3175" b="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8"/>
                    <a:srcRect/>
                    <a:stretch>
                      <a:fillRect/>
                    </a:stretch>
                  </pic:blipFill>
                  <pic:spPr bwMode="auto">
                    <a:xfrm>
                      <a:off x="0" y="0"/>
                      <a:ext cx="5940425" cy="6844565"/>
                    </a:xfrm>
                    <a:prstGeom prst="rect">
                      <a:avLst/>
                    </a:prstGeom>
                    <a:noFill/>
                    <a:ln w="9525">
                      <a:noFill/>
                      <a:miter lim="800000"/>
                      <a:headEnd/>
                      <a:tailEnd/>
                    </a:ln>
                  </pic:spPr>
                </pic:pic>
              </a:graphicData>
            </a:graphic>
          </wp:inline>
        </w:drawing>
      </w: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334FBF" w:rsidRDefault="00334FBF" w:rsidP="00CA01F2">
      <w:pPr>
        <w:jc w:val="both"/>
        <w:rPr>
          <w:rFonts w:ascii="Arial Narrow" w:hAnsi="Arial Narrow" w:cs="Arial"/>
          <w:lang w:val="es-MX"/>
        </w:rPr>
      </w:pPr>
    </w:p>
    <w:p w:rsidR="008C5473" w:rsidRDefault="003D7B3A" w:rsidP="00CA01F2">
      <w:pPr>
        <w:jc w:val="both"/>
        <w:rPr>
          <w:rFonts w:ascii="Arial Narrow" w:hAnsi="Arial Narrow" w:cs="Arial"/>
          <w:lang w:val="es-MX"/>
        </w:rPr>
      </w:pPr>
      <w:r w:rsidRPr="003D7B3A">
        <w:rPr>
          <w:noProof/>
          <w:lang w:val="es-MX" w:eastAsia="es-MX"/>
        </w:rPr>
        <w:drawing>
          <wp:inline distT="0" distB="0" distL="0" distR="0">
            <wp:extent cx="5940425" cy="7479705"/>
            <wp:effectExtent l="19050" t="0" r="3175"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9"/>
                    <a:srcRect/>
                    <a:stretch>
                      <a:fillRect/>
                    </a:stretch>
                  </pic:blipFill>
                  <pic:spPr bwMode="auto">
                    <a:xfrm>
                      <a:off x="0" y="0"/>
                      <a:ext cx="5940425" cy="7479705"/>
                    </a:xfrm>
                    <a:prstGeom prst="rect">
                      <a:avLst/>
                    </a:prstGeom>
                    <a:noFill/>
                    <a:ln w="9525">
                      <a:noFill/>
                      <a:miter lim="800000"/>
                      <a:headEnd/>
                      <a:tailEnd/>
                    </a:ln>
                  </pic:spPr>
                </pic:pic>
              </a:graphicData>
            </a:graphic>
          </wp:inline>
        </w:drawing>
      </w:r>
    </w:p>
    <w:p w:rsidR="008C5473" w:rsidRDefault="008C5473"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9A176E" w:rsidP="00CA01F2">
      <w:pPr>
        <w:jc w:val="both"/>
        <w:rPr>
          <w:rFonts w:ascii="Arial Narrow" w:hAnsi="Arial Narrow" w:cs="Arial"/>
          <w:lang w:val="es-MX"/>
        </w:rPr>
      </w:pPr>
      <w:r w:rsidRPr="009A176E">
        <w:rPr>
          <w:noProof/>
          <w:lang w:val="es-MX" w:eastAsia="es-MX"/>
        </w:rPr>
        <w:lastRenderedPageBreak/>
        <w:drawing>
          <wp:inline distT="0" distB="0" distL="0" distR="0">
            <wp:extent cx="5940425" cy="6580028"/>
            <wp:effectExtent l="19050" t="0" r="3175" b="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0"/>
                    <a:srcRect/>
                    <a:stretch>
                      <a:fillRect/>
                    </a:stretch>
                  </pic:blipFill>
                  <pic:spPr bwMode="auto">
                    <a:xfrm>
                      <a:off x="0" y="0"/>
                      <a:ext cx="5940425" cy="6580028"/>
                    </a:xfrm>
                    <a:prstGeom prst="rect">
                      <a:avLst/>
                    </a:prstGeom>
                    <a:noFill/>
                    <a:ln w="9525">
                      <a:noFill/>
                      <a:miter lim="800000"/>
                      <a:headEnd/>
                      <a:tailEnd/>
                    </a:ln>
                  </pic:spPr>
                </pic:pic>
              </a:graphicData>
            </a:graphic>
          </wp:inline>
        </w:drawing>
      </w: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3D7B3A" w:rsidRDefault="009A176E" w:rsidP="00CA01F2">
      <w:pPr>
        <w:jc w:val="both"/>
        <w:rPr>
          <w:rFonts w:ascii="Arial Narrow" w:hAnsi="Arial Narrow" w:cs="Arial"/>
          <w:lang w:val="es-MX"/>
        </w:rPr>
      </w:pPr>
      <w:r w:rsidRPr="009A176E">
        <w:rPr>
          <w:noProof/>
          <w:lang w:val="es-MX" w:eastAsia="es-MX"/>
        </w:rPr>
        <w:drawing>
          <wp:inline distT="0" distB="0" distL="0" distR="0">
            <wp:extent cx="5940425" cy="6562505"/>
            <wp:effectExtent l="19050" t="0" r="3175"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1"/>
                    <a:srcRect/>
                    <a:stretch>
                      <a:fillRect/>
                    </a:stretch>
                  </pic:blipFill>
                  <pic:spPr bwMode="auto">
                    <a:xfrm>
                      <a:off x="0" y="0"/>
                      <a:ext cx="5940425" cy="6562505"/>
                    </a:xfrm>
                    <a:prstGeom prst="rect">
                      <a:avLst/>
                    </a:prstGeom>
                    <a:noFill/>
                    <a:ln w="9525">
                      <a:noFill/>
                      <a:miter lim="800000"/>
                      <a:headEnd/>
                      <a:tailEnd/>
                    </a:ln>
                  </pic:spPr>
                </pic:pic>
              </a:graphicData>
            </a:graphic>
          </wp:inline>
        </w:drawing>
      </w:r>
    </w:p>
    <w:p w:rsidR="003D7B3A" w:rsidRDefault="003D7B3A" w:rsidP="00CA01F2">
      <w:pPr>
        <w:jc w:val="both"/>
        <w:rPr>
          <w:rFonts w:ascii="Arial Narrow" w:hAnsi="Arial Narrow" w:cs="Arial"/>
          <w:lang w:val="es-MX"/>
        </w:rPr>
      </w:pPr>
    </w:p>
    <w:p w:rsidR="003D7B3A" w:rsidRDefault="003D7B3A"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r w:rsidRPr="009A176E">
        <w:rPr>
          <w:noProof/>
          <w:lang w:val="es-MX" w:eastAsia="es-MX"/>
        </w:rPr>
        <w:drawing>
          <wp:inline distT="0" distB="0" distL="0" distR="0">
            <wp:extent cx="5940425" cy="6212037"/>
            <wp:effectExtent l="19050" t="0" r="3175" b="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2"/>
                    <a:srcRect/>
                    <a:stretch>
                      <a:fillRect/>
                    </a:stretch>
                  </pic:blipFill>
                  <pic:spPr bwMode="auto">
                    <a:xfrm>
                      <a:off x="0" y="0"/>
                      <a:ext cx="5940425" cy="6212037"/>
                    </a:xfrm>
                    <a:prstGeom prst="rect">
                      <a:avLst/>
                    </a:prstGeom>
                    <a:noFill/>
                    <a:ln w="9525">
                      <a:noFill/>
                      <a:miter lim="800000"/>
                      <a:headEnd/>
                      <a:tailEnd/>
                    </a:ln>
                  </pic:spPr>
                </pic:pic>
              </a:graphicData>
            </a:graphic>
          </wp:inline>
        </w:drawing>
      </w: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r w:rsidRPr="009A176E">
        <w:rPr>
          <w:noProof/>
          <w:lang w:val="es-MX" w:eastAsia="es-MX"/>
        </w:rPr>
        <w:lastRenderedPageBreak/>
        <w:drawing>
          <wp:inline distT="0" distB="0" distL="0" distR="0">
            <wp:extent cx="5940425" cy="6737739"/>
            <wp:effectExtent l="19050" t="0" r="317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3"/>
                    <a:srcRect/>
                    <a:stretch>
                      <a:fillRect/>
                    </a:stretch>
                  </pic:blipFill>
                  <pic:spPr bwMode="auto">
                    <a:xfrm>
                      <a:off x="0" y="0"/>
                      <a:ext cx="5940425" cy="6737739"/>
                    </a:xfrm>
                    <a:prstGeom prst="rect">
                      <a:avLst/>
                    </a:prstGeom>
                    <a:noFill/>
                    <a:ln w="9525">
                      <a:noFill/>
                      <a:miter lim="800000"/>
                      <a:headEnd/>
                      <a:tailEnd/>
                    </a:ln>
                  </pic:spPr>
                </pic:pic>
              </a:graphicData>
            </a:graphic>
          </wp:inline>
        </w:drawing>
      </w: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r w:rsidRPr="009A176E">
        <w:rPr>
          <w:noProof/>
          <w:lang w:val="es-MX" w:eastAsia="es-MX"/>
        </w:rPr>
        <w:lastRenderedPageBreak/>
        <w:drawing>
          <wp:inline distT="0" distB="0" distL="0" distR="0">
            <wp:extent cx="5940425" cy="6247084"/>
            <wp:effectExtent l="19050" t="0" r="3175"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4"/>
                    <a:srcRect/>
                    <a:stretch>
                      <a:fillRect/>
                    </a:stretch>
                  </pic:blipFill>
                  <pic:spPr bwMode="auto">
                    <a:xfrm>
                      <a:off x="0" y="0"/>
                      <a:ext cx="5940425" cy="6247084"/>
                    </a:xfrm>
                    <a:prstGeom prst="rect">
                      <a:avLst/>
                    </a:prstGeom>
                    <a:noFill/>
                    <a:ln w="9525">
                      <a:noFill/>
                      <a:miter lim="800000"/>
                      <a:headEnd/>
                      <a:tailEnd/>
                    </a:ln>
                  </pic:spPr>
                </pic:pic>
              </a:graphicData>
            </a:graphic>
          </wp:inline>
        </w:drawing>
      </w: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8C5473" w:rsidRDefault="008C5473"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A01F2">
      <w:pPr>
        <w:jc w:val="both"/>
        <w:rPr>
          <w:rFonts w:ascii="Arial Narrow" w:hAnsi="Arial Narrow" w:cs="Arial"/>
          <w:lang w:val="es-MX"/>
        </w:rPr>
      </w:pPr>
    </w:p>
    <w:p w:rsidR="009A176E" w:rsidRDefault="009A176E" w:rsidP="00CB0E8E">
      <w:pPr>
        <w:jc w:val="both"/>
        <w:rPr>
          <w:rFonts w:cs="Calibri"/>
          <w:b/>
          <w:sz w:val="32"/>
          <w:szCs w:val="32"/>
          <w:lang w:val="es-MX" w:eastAsia="es-MX"/>
        </w:rPr>
      </w:pPr>
      <w:r w:rsidRPr="009A176E">
        <w:rPr>
          <w:noProof/>
          <w:szCs w:val="32"/>
          <w:lang w:val="es-MX" w:eastAsia="es-MX"/>
        </w:rPr>
        <w:lastRenderedPageBreak/>
        <w:drawing>
          <wp:inline distT="0" distB="0" distL="0" distR="0">
            <wp:extent cx="5940425" cy="6737739"/>
            <wp:effectExtent l="19050" t="0" r="3175" b="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5"/>
                    <a:srcRect/>
                    <a:stretch>
                      <a:fillRect/>
                    </a:stretch>
                  </pic:blipFill>
                  <pic:spPr bwMode="auto">
                    <a:xfrm>
                      <a:off x="0" y="0"/>
                      <a:ext cx="5940425" cy="6737739"/>
                    </a:xfrm>
                    <a:prstGeom prst="rect">
                      <a:avLst/>
                    </a:prstGeom>
                    <a:noFill/>
                    <a:ln w="9525">
                      <a:noFill/>
                      <a:miter lim="800000"/>
                      <a:headEnd/>
                      <a:tailEnd/>
                    </a:ln>
                  </pic:spPr>
                </pic:pic>
              </a:graphicData>
            </a:graphic>
          </wp:inline>
        </w:drawing>
      </w: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r w:rsidRPr="009A176E">
        <w:rPr>
          <w:noProof/>
          <w:szCs w:val="32"/>
          <w:lang w:val="es-MX" w:eastAsia="es-MX"/>
        </w:rPr>
        <w:lastRenderedPageBreak/>
        <w:drawing>
          <wp:inline distT="0" distB="0" distL="0" distR="0">
            <wp:extent cx="5940425" cy="5511102"/>
            <wp:effectExtent l="19050" t="0" r="3175"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6"/>
                    <a:srcRect/>
                    <a:stretch>
                      <a:fillRect/>
                    </a:stretch>
                  </pic:blipFill>
                  <pic:spPr bwMode="auto">
                    <a:xfrm>
                      <a:off x="0" y="0"/>
                      <a:ext cx="5940425" cy="5511102"/>
                    </a:xfrm>
                    <a:prstGeom prst="rect">
                      <a:avLst/>
                    </a:prstGeom>
                    <a:noFill/>
                    <a:ln w="9525">
                      <a:noFill/>
                      <a:miter lim="800000"/>
                      <a:headEnd/>
                      <a:tailEnd/>
                    </a:ln>
                  </pic:spPr>
                </pic:pic>
              </a:graphicData>
            </a:graphic>
          </wp:inline>
        </w:drawing>
      </w: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773BDE" w:rsidRDefault="00773BDE" w:rsidP="00CB0E8E">
      <w:pPr>
        <w:jc w:val="both"/>
        <w:rPr>
          <w:rFonts w:ascii="Arial Narrow" w:hAnsi="Arial Narrow" w:cs="Arial"/>
          <w:b/>
          <w:sz w:val="32"/>
          <w:szCs w:val="32"/>
          <w:lang w:val="es-MX" w:eastAsia="es-MX"/>
        </w:rPr>
      </w:pPr>
    </w:p>
    <w:p w:rsidR="009A176E" w:rsidRDefault="00A647EF" w:rsidP="00CB0E8E">
      <w:pPr>
        <w:jc w:val="both"/>
        <w:rPr>
          <w:rFonts w:ascii="Arial Narrow" w:hAnsi="Arial Narrow" w:cs="Arial"/>
          <w:b/>
          <w:sz w:val="32"/>
          <w:szCs w:val="32"/>
          <w:lang w:val="es-MX" w:eastAsia="es-MX"/>
        </w:rPr>
      </w:pPr>
      <w:r w:rsidRPr="00C86D4C">
        <w:rPr>
          <w:rFonts w:ascii="Arial Narrow" w:hAnsi="Arial Narrow" w:cs="Arial"/>
          <w:b/>
          <w:sz w:val="32"/>
          <w:szCs w:val="32"/>
          <w:lang w:val="es-MX" w:eastAsia="es-MX"/>
        </w:rPr>
        <w:t>3.3</w:t>
      </w:r>
      <w:r w:rsidR="00C86D4C">
        <w:rPr>
          <w:rFonts w:ascii="Arial Narrow" w:hAnsi="Arial Narrow" w:cs="Arial"/>
          <w:b/>
          <w:sz w:val="32"/>
          <w:szCs w:val="32"/>
          <w:lang w:val="es-MX" w:eastAsia="es-MX"/>
        </w:rPr>
        <w:t xml:space="preserve">  </w:t>
      </w:r>
      <w:r w:rsidR="00C86D4C" w:rsidRPr="00C86D4C">
        <w:rPr>
          <w:rFonts w:ascii="Arial Narrow" w:hAnsi="Arial Narrow" w:cs="Arial"/>
          <w:b/>
          <w:sz w:val="32"/>
          <w:szCs w:val="32"/>
          <w:lang w:val="es-MX" w:eastAsia="es-MX"/>
        </w:rPr>
        <w:t xml:space="preserve">  </w:t>
      </w:r>
      <w:r w:rsidRPr="00C86D4C">
        <w:rPr>
          <w:rFonts w:ascii="Arial Narrow" w:hAnsi="Arial Narrow" w:cs="Arial"/>
          <w:b/>
          <w:sz w:val="32"/>
          <w:szCs w:val="32"/>
          <w:lang w:val="es-MX" w:eastAsia="es-MX"/>
        </w:rPr>
        <w:t xml:space="preserve"> MANEJO DE CU</w:t>
      </w:r>
      <w:r w:rsidR="00C86D4C" w:rsidRPr="00C86D4C">
        <w:rPr>
          <w:rFonts w:ascii="Arial Narrow" w:hAnsi="Arial Narrow" w:cs="Arial"/>
          <w:b/>
          <w:sz w:val="32"/>
          <w:szCs w:val="32"/>
          <w:lang w:val="es-MX" w:eastAsia="es-MX"/>
        </w:rPr>
        <w:t>E</w:t>
      </w:r>
      <w:r w:rsidRPr="00C86D4C">
        <w:rPr>
          <w:rFonts w:ascii="Arial Narrow" w:hAnsi="Arial Narrow" w:cs="Arial"/>
          <w:b/>
          <w:sz w:val="32"/>
          <w:szCs w:val="32"/>
          <w:lang w:val="es-MX" w:eastAsia="es-MX"/>
        </w:rPr>
        <w:t>NTAS Y MODELO DE ASIENTOS CONTABLES</w:t>
      </w:r>
    </w:p>
    <w:p w:rsidR="00773BDE" w:rsidRDefault="00773BDE" w:rsidP="00CB0E8E">
      <w:pPr>
        <w:jc w:val="both"/>
        <w:rPr>
          <w:rFonts w:ascii="Arial Narrow" w:hAnsi="Arial Narrow" w:cs="Arial"/>
          <w:b/>
          <w:sz w:val="32"/>
          <w:szCs w:val="32"/>
          <w:lang w:val="es-MX" w:eastAsia="es-MX"/>
        </w:rPr>
      </w:pPr>
    </w:p>
    <w:p w:rsidR="00227780" w:rsidRDefault="00227780" w:rsidP="00CB0E8E">
      <w:pPr>
        <w:jc w:val="both"/>
        <w:rPr>
          <w:rFonts w:ascii="Arial Narrow" w:hAnsi="Arial Narrow" w:cs="Arial"/>
          <w:b/>
          <w:sz w:val="32"/>
          <w:szCs w:val="32"/>
          <w:lang w:val="es-MX" w:eastAsia="es-MX"/>
        </w:rPr>
      </w:pPr>
      <w:r>
        <w:rPr>
          <w:rFonts w:ascii="Arial Narrow" w:hAnsi="Arial Narrow" w:cs="Arial"/>
          <w:b/>
          <w:sz w:val="32"/>
          <w:szCs w:val="32"/>
          <w:lang w:val="es-MX" w:eastAsia="es-MX"/>
        </w:rPr>
        <w:t xml:space="preserve">                   MANEJO DE CUENTAS</w:t>
      </w:r>
    </w:p>
    <w:p w:rsidR="00227780" w:rsidRDefault="00227780" w:rsidP="00CB0E8E">
      <w:pPr>
        <w:jc w:val="both"/>
        <w:rPr>
          <w:rFonts w:ascii="Arial Narrow" w:hAnsi="Arial Narrow" w:cs="Arial"/>
          <w:b/>
          <w:sz w:val="32"/>
          <w:szCs w:val="32"/>
          <w:lang w:val="es-MX" w:eastAsia="es-MX"/>
        </w:rPr>
      </w:pPr>
      <w:r>
        <w:rPr>
          <w:rFonts w:ascii="Arial Narrow" w:hAnsi="Arial Narrow" w:cs="Arial"/>
          <w:b/>
          <w:sz w:val="32"/>
          <w:szCs w:val="32"/>
          <w:lang w:val="es-MX" w:eastAsia="es-MX"/>
        </w:rPr>
        <w:t xml:space="preserve">                  </w:t>
      </w:r>
    </w:p>
    <w:p w:rsidR="00773BDE" w:rsidRPr="00227780" w:rsidRDefault="00773BDE" w:rsidP="00773BDE">
      <w:pPr>
        <w:jc w:val="both"/>
        <w:rPr>
          <w:rFonts w:ascii="Arial Narrow" w:hAnsi="Arial Narrow" w:cs="Arial"/>
          <w:sz w:val="28"/>
          <w:szCs w:val="28"/>
          <w:lang w:val="es-MX" w:eastAsia="es-MX"/>
        </w:rPr>
      </w:pPr>
      <w:r w:rsidRPr="00227780">
        <w:rPr>
          <w:rFonts w:ascii="Arial Narrow" w:hAnsi="Arial Narrow" w:cs="Arial"/>
          <w:sz w:val="28"/>
          <w:szCs w:val="28"/>
          <w:lang w:val="es-MX" w:eastAsia="es-MX"/>
        </w:rPr>
        <w:t xml:space="preserve">      Para el manejo de Cuentas, el CONAC incluye dentro del Manual un  </w:t>
      </w:r>
      <w:r w:rsidRPr="00ED4DFB">
        <w:rPr>
          <w:rFonts w:ascii="Arial Narrow" w:hAnsi="Arial Narrow" w:cs="Arial"/>
          <w:b/>
          <w:color w:val="943634" w:themeColor="accent2" w:themeShade="BF"/>
          <w:sz w:val="28"/>
          <w:szCs w:val="28"/>
          <w:lang w:val="es-MX" w:eastAsia="es-MX"/>
        </w:rPr>
        <w:t>INSTRUCTIVO DE MANEJO DE CUENTAS</w:t>
      </w:r>
      <w:r w:rsidR="00227780" w:rsidRPr="00227780">
        <w:rPr>
          <w:rFonts w:ascii="Arial Narrow" w:hAnsi="Arial Narrow" w:cs="Arial"/>
          <w:sz w:val="28"/>
          <w:szCs w:val="28"/>
          <w:lang w:val="es-MX" w:eastAsia="es-MX"/>
        </w:rPr>
        <w:t>,</w:t>
      </w:r>
      <w:r w:rsidRPr="00227780">
        <w:rPr>
          <w:rFonts w:ascii="Arial Narrow" w:hAnsi="Arial Narrow" w:cs="Arial"/>
          <w:sz w:val="28"/>
          <w:szCs w:val="28"/>
          <w:lang w:val="es-MX" w:eastAsia="es-MX"/>
        </w:rPr>
        <w:t xml:space="preserve"> en el cual se establecen las instrucciones para el manejo de cada una de las cuentas que componen el Plan de Cuentas  cuyo ámbito de aplicación trasciende a las operaciones que realiza cada ente.</w:t>
      </w:r>
    </w:p>
    <w:p w:rsidR="00773BDE" w:rsidRPr="00227780" w:rsidRDefault="00773BDE" w:rsidP="00773BDE">
      <w:pPr>
        <w:jc w:val="both"/>
        <w:rPr>
          <w:rFonts w:ascii="Arial Narrow" w:hAnsi="Arial Narrow" w:cs="Arial"/>
          <w:sz w:val="28"/>
          <w:szCs w:val="28"/>
          <w:lang w:val="es-MX" w:eastAsia="es-MX"/>
        </w:rPr>
      </w:pPr>
      <w:r w:rsidRPr="00227780">
        <w:rPr>
          <w:rFonts w:ascii="Arial Narrow" w:hAnsi="Arial Narrow" w:cs="Arial"/>
          <w:sz w:val="28"/>
          <w:szCs w:val="28"/>
          <w:lang w:val="es-MX" w:eastAsia="es-MX"/>
        </w:rPr>
        <w:t xml:space="preserve">   </w:t>
      </w:r>
    </w:p>
    <w:p w:rsidR="00773BDE" w:rsidRPr="00227780" w:rsidRDefault="00773BDE" w:rsidP="00773BDE">
      <w:pPr>
        <w:jc w:val="both"/>
        <w:rPr>
          <w:rFonts w:ascii="Arial Narrow" w:hAnsi="Arial Narrow" w:cs="Arial"/>
          <w:sz w:val="28"/>
          <w:szCs w:val="28"/>
          <w:lang w:val="es-MX" w:eastAsia="es-MX"/>
        </w:rPr>
      </w:pPr>
      <w:r w:rsidRPr="00227780">
        <w:rPr>
          <w:rFonts w:ascii="Arial Narrow" w:hAnsi="Arial Narrow" w:cs="Arial"/>
          <w:sz w:val="28"/>
          <w:szCs w:val="28"/>
          <w:lang w:val="es-MX" w:eastAsia="es-MX"/>
        </w:rPr>
        <w:t xml:space="preserve">      Su contenido determina las causas por las cuales se puede cargar o abonar cada una de las cuentas, si la operación a registrar está automáticamente relacionada con los registros del presupuesto o es independiente del mismo, las cuentas que operan contra las mismas en el sistema por partida doble, el listado por subcuentas con su respectiva codificación, la forma de interpretar los saldos, y en general, todo lo que facilita el uso y la interpretación uniforme de las cuentas que conforman los estados financieros.</w:t>
      </w:r>
    </w:p>
    <w:p w:rsidR="00773BDE" w:rsidRPr="00227780" w:rsidRDefault="00773BDE" w:rsidP="00773BDE">
      <w:pPr>
        <w:jc w:val="both"/>
        <w:rPr>
          <w:rFonts w:ascii="Arial Narrow" w:hAnsi="Arial Narrow" w:cs="Arial"/>
          <w:sz w:val="28"/>
          <w:szCs w:val="28"/>
          <w:lang w:val="es-MX" w:eastAsia="es-MX"/>
        </w:rPr>
      </w:pPr>
    </w:p>
    <w:p w:rsidR="00773BDE" w:rsidRDefault="00773BDE" w:rsidP="00773BDE">
      <w:pPr>
        <w:jc w:val="both"/>
        <w:rPr>
          <w:rFonts w:ascii="Arial Narrow" w:hAnsi="Arial Narrow" w:cs="Arial"/>
          <w:sz w:val="28"/>
          <w:szCs w:val="28"/>
          <w:lang w:val="es-MX" w:eastAsia="es-MX"/>
        </w:rPr>
      </w:pPr>
      <w:r w:rsidRPr="00227780">
        <w:rPr>
          <w:rFonts w:ascii="Arial Narrow" w:hAnsi="Arial Narrow" w:cs="Arial"/>
          <w:sz w:val="28"/>
          <w:szCs w:val="28"/>
          <w:lang w:val="es-MX" w:eastAsia="es-MX"/>
        </w:rPr>
        <w:t xml:space="preserve">Considerando las bases normativas establecidas en el </w:t>
      </w:r>
      <w:r w:rsidRPr="00227780">
        <w:rPr>
          <w:rFonts w:ascii="Arial Narrow" w:hAnsi="Arial Narrow" w:cs="Arial"/>
          <w:i/>
          <w:sz w:val="28"/>
          <w:szCs w:val="28"/>
          <w:lang w:val="es-MX" w:eastAsia="es-MX"/>
        </w:rPr>
        <w:t>Acuerdo por el que se emite el Manual de Contabilidad Gubernamental</w:t>
      </w:r>
      <w:r w:rsidRPr="00227780">
        <w:rPr>
          <w:rFonts w:ascii="Arial Narrow" w:hAnsi="Arial Narrow" w:cs="Arial"/>
          <w:sz w:val="28"/>
          <w:szCs w:val="28"/>
          <w:lang w:val="es-MX" w:eastAsia="es-MX"/>
        </w:rPr>
        <w:t xml:space="preserve"> de fecha 4 de noviembre de 2010, y con la finalidad de dar cumplimiento a la obligación impuesta por los artículos 37 y CUARTO transitorio de la </w:t>
      </w:r>
      <w:r w:rsidRPr="00227780">
        <w:rPr>
          <w:rFonts w:ascii="Arial Narrow" w:hAnsi="Arial Narrow" w:cs="Arial"/>
          <w:i/>
          <w:sz w:val="28"/>
          <w:szCs w:val="28"/>
          <w:lang w:val="es-MX" w:eastAsia="es-MX"/>
        </w:rPr>
        <w:t>Ley de Contabilidad Gubernamental</w:t>
      </w:r>
      <w:r w:rsidRPr="00227780">
        <w:rPr>
          <w:rFonts w:ascii="Arial Narrow" w:hAnsi="Arial Narrow" w:cs="Arial"/>
          <w:sz w:val="28"/>
          <w:szCs w:val="28"/>
          <w:lang w:val="es-MX" w:eastAsia="es-MX"/>
        </w:rPr>
        <w:t>,  el Manual de cada ente deberá incluir el presente Instructivo.</w:t>
      </w:r>
    </w:p>
    <w:p w:rsidR="00ED4DFB" w:rsidRDefault="00ED4DFB" w:rsidP="00773BDE">
      <w:pPr>
        <w:jc w:val="both"/>
        <w:rPr>
          <w:rFonts w:ascii="Arial Narrow" w:hAnsi="Arial Narrow" w:cs="Arial"/>
          <w:sz w:val="28"/>
          <w:szCs w:val="28"/>
          <w:lang w:val="es-MX" w:eastAsia="es-MX"/>
        </w:rPr>
      </w:pPr>
    </w:p>
    <w:p w:rsidR="00D638D7" w:rsidRDefault="00D638D7" w:rsidP="00773BDE">
      <w:pPr>
        <w:jc w:val="both"/>
        <w:rPr>
          <w:rFonts w:ascii="Arial Narrow" w:hAnsi="Arial Narrow" w:cs="Arial"/>
          <w:sz w:val="28"/>
          <w:szCs w:val="28"/>
          <w:lang w:val="es-MX" w:eastAsia="es-MX"/>
        </w:rPr>
      </w:pPr>
    </w:p>
    <w:p w:rsidR="00D638D7" w:rsidRDefault="00D638D7" w:rsidP="00773BDE">
      <w:pPr>
        <w:jc w:val="both"/>
        <w:rPr>
          <w:rFonts w:ascii="Arial Narrow" w:hAnsi="Arial Narrow" w:cs="Arial"/>
          <w:sz w:val="28"/>
          <w:szCs w:val="28"/>
          <w:lang w:val="es-MX" w:eastAsia="es-MX"/>
        </w:rPr>
      </w:pPr>
    </w:p>
    <w:p w:rsidR="00D638D7" w:rsidRDefault="00D638D7"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211A6E" w:rsidP="00773BDE">
      <w:pPr>
        <w:jc w:val="both"/>
        <w:rPr>
          <w:rFonts w:ascii="Arial Narrow" w:hAnsi="Arial Narrow" w:cs="Arial"/>
          <w:sz w:val="28"/>
          <w:szCs w:val="28"/>
          <w:lang w:val="es-MX" w:eastAsia="es-MX"/>
        </w:rPr>
      </w:pPr>
      <w:r>
        <w:rPr>
          <w:rFonts w:ascii="Arial Narrow" w:hAnsi="Arial Narrow" w:cs="Arial"/>
          <w:sz w:val="28"/>
          <w:szCs w:val="28"/>
          <w:lang w:val="es-MX" w:eastAsia="es-MX"/>
        </w:rPr>
        <w:t>A continuación se presentan algunos ejemplos del Instructivo de Cuentas elaborado por una Institución de Educación Superior, considerando la naturaleza de sus operaciones y de acuerdo a lo establecido por la Ley General de Contabilidad Gubernamental.</w:t>
      </w: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tbl>
      <w:tblPr>
        <w:tblStyle w:val="Tablaconcuadrcula"/>
        <w:tblpPr w:leftFromText="180" w:rightFromText="180" w:vertAnchor="text" w:horzAnchor="margin" w:tblpY="582"/>
        <w:tblW w:w="9613" w:type="dxa"/>
        <w:tblLook w:val="04A0"/>
      </w:tblPr>
      <w:tblGrid>
        <w:gridCol w:w="735"/>
        <w:gridCol w:w="1035"/>
        <w:gridCol w:w="1666"/>
        <w:gridCol w:w="989"/>
        <w:gridCol w:w="829"/>
        <w:gridCol w:w="1963"/>
        <w:gridCol w:w="2396"/>
      </w:tblGrid>
      <w:tr w:rsidR="00ED4DFB" w:rsidRPr="00705957" w:rsidTr="00CA5FF6">
        <w:trPr>
          <w:trHeight w:val="570"/>
        </w:trPr>
        <w:tc>
          <w:tcPr>
            <w:tcW w:w="1770"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NUMERO</w:t>
            </w:r>
          </w:p>
        </w:tc>
        <w:tc>
          <w:tcPr>
            <w:tcW w:w="1666"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GENERO</w:t>
            </w:r>
          </w:p>
        </w:tc>
        <w:tc>
          <w:tcPr>
            <w:tcW w:w="1818"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GRUPO</w:t>
            </w:r>
          </w:p>
        </w:tc>
        <w:tc>
          <w:tcPr>
            <w:tcW w:w="1963"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RUBRO</w:t>
            </w:r>
          </w:p>
        </w:tc>
        <w:tc>
          <w:tcPr>
            <w:tcW w:w="2396"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NATURALEZA</w:t>
            </w:r>
          </w:p>
        </w:tc>
      </w:tr>
      <w:tr w:rsidR="00ED4DFB" w:rsidRPr="00705957" w:rsidTr="00CA5FF6">
        <w:trPr>
          <w:trHeight w:val="570"/>
        </w:trPr>
        <w:tc>
          <w:tcPr>
            <w:tcW w:w="1770"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1.1.1.1</w:t>
            </w:r>
          </w:p>
        </w:tc>
        <w:tc>
          <w:tcPr>
            <w:tcW w:w="1666"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Activo</w:t>
            </w:r>
          </w:p>
        </w:tc>
        <w:tc>
          <w:tcPr>
            <w:tcW w:w="1818"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Activo circulante</w:t>
            </w:r>
          </w:p>
        </w:tc>
        <w:tc>
          <w:tcPr>
            <w:tcW w:w="1963"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Efectivo y equivalentes</w:t>
            </w:r>
          </w:p>
        </w:tc>
        <w:tc>
          <w:tcPr>
            <w:tcW w:w="2396"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Deudora</w:t>
            </w:r>
          </w:p>
        </w:tc>
      </w:tr>
      <w:tr w:rsidR="00ED4DFB" w:rsidRPr="00705957" w:rsidTr="00CA5FF6">
        <w:trPr>
          <w:trHeight w:val="570"/>
        </w:trPr>
        <w:tc>
          <w:tcPr>
            <w:tcW w:w="1770" w:type="dxa"/>
            <w:gridSpan w:val="2"/>
            <w:tcBorders>
              <w:bottom w:val="single" w:sz="4" w:space="0" w:color="auto"/>
            </w:tcBorders>
            <w:vAlign w:val="center"/>
          </w:tcPr>
          <w:p w:rsidR="00ED4DFB" w:rsidRPr="00705957" w:rsidRDefault="00ED4DFB" w:rsidP="00747A44">
            <w:pP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CUENTA</w:t>
            </w:r>
          </w:p>
        </w:tc>
        <w:tc>
          <w:tcPr>
            <w:tcW w:w="7843" w:type="dxa"/>
            <w:gridSpan w:val="5"/>
            <w:tcBorders>
              <w:bottom w:val="single" w:sz="4" w:space="0" w:color="auto"/>
            </w:tcBorders>
            <w:vAlign w:val="center"/>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Efectivo</w:t>
            </w:r>
          </w:p>
        </w:tc>
      </w:tr>
      <w:tr w:rsidR="00ED4DFB" w:rsidRPr="00705957" w:rsidTr="00CA5FF6">
        <w:trPr>
          <w:trHeight w:val="570"/>
        </w:trPr>
        <w:tc>
          <w:tcPr>
            <w:tcW w:w="9613" w:type="dxa"/>
            <w:gridSpan w:val="7"/>
            <w:tcBorders>
              <w:top w:val="single" w:sz="4" w:space="0" w:color="auto"/>
              <w:left w:val="nil"/>
              <w:bottom w:val="single" w:sz="4" w:space="0" w:color="auto"/>
              <w:right w:val="nil"/>
            </w:tcBorders>
            <w:vAlign w:val="center"/>
          </w:tcPr>
          <w:p w:rsidR="00ED4DFB" w:rsidRPr="00705957" w:rsidRDefault="00ED4DFB" w:rsidP="00747A44">
            <w:pPr>
              <w:jc w:val="center"/>
              <w:rPr>
                <w:rFonts w:ascii="Tw Cen MT" w:hAnsi="Tw Cen MT"/>
                <w:b/>
                <w:sz w:val="16"/>
                <w:szCs w:val="16"/>
                <w:lang w:val="es-MX"/>
              </w:rPr>
            </w:pPr>
          </w:p>
        </w:tc>
      </w:tr>
      <w:tr w:rsidR="00ED4DFB" w:rsidRPr="00705957" w:rsidTr="00CA5FF6">
        <w:trPr>
          <w:trHeight w:val="570"/>
        </w:trPr>
        <w:tc>
          <w:tcPr>
            <w:tcW w:w="735" w:type="dxa"/>
            <w:tcBorders>
              <w:top w:val="single" w:sz="4" w:space="0" w:color="auto"/>
            </w:tcBorders>
            <w:vAlign w:val="center"/>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 xml:space="preserve">   No.</w:t>
            </w:r>
          </w:p>
        </w:tc>
        <w:tc>
          <w:tcPr>
            <w:tcW w:w="3690" w:type="dxa"/>
            <w:gridSpan w:val="3"/>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CARGO</w:t>
            </w:r>
          </w:p>
        </w:tc>
        <w:tc>
          <w:tcPr>
            <w:tcW w:w="829" w:type="dxa"/>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No.</w:t>
            </w:r>
          </w:p>
        </w:tc>
        <w:tc>
          <w:tcPr>
            <w:tcW w:w="4359" w:type="dxa"/>
            <w:gridSpan w:val="2"/>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ABONO</w:t>
            </w:r>
          </w:p>
        </w:tc>
      </w:tr>
      <w:tr w:rsidR="00ED4DFB" w:rsidRPr="00705957" w:rsidTr="00CA5FF6">
        <w:trPr>
          <w:trHeight w:val="6698"/>
        </w:trPr>
        <w:tc>
          <w:tcPr>
            <w:tcW w:w="735" w:type="dxa"/>
          </w:tcPr>
          <w:p w:rsidR="00ED4DFB" w:rsidRPr="00705957" w:rsidRDefault="00ED4DFB" w:rsidP="00747A44">
            <w:pPr>
              <w:jc w:val="center"/>
              <w:rPr>
                <w:rFonts w:ascii="Tw Cen MT" w:hAnsi="Tw Cen MT"/>
                <w:b/>
                <w:sz w:val="20"/>
                <w:szCs w:val="16"/>
              </w:rPr>
            </w:pPr>
            <w:r w:rsidRPr="00705957">
              <w:rPr>
                <w:rFonts w:ascii="Tw Cen MT" w:hAnsi="Tw Cen MT"/>
                <w:b/>
                <w:sz w:val="20"/>
                <w:szCs w:val="16"/>
              </w:rPr>
              <w:t>1</w:t>
            </w: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r w:rsidRPr="00705957">
              <w:rPr>
                <w:rFonts w:ascii="Tw Cen MT" w:hAnsi="Tw Cen MT"/>
                <w:b/>
                <w:sz w:val="20"/>
                <w:szCs w:val="16"/>
              </w:rPr>
              <w:t>2</w:t>
            </w: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r w:rsidRPr="00705957">
              <w:rPr>
                <w:rFonts w:ascii="Tw Cen MT" w:hAnsi="Tw Cen MT"/>
                <w:b/>
                <w:sz w:val="20"/>
                <w:szCs w:val="16"/>
              </w:rPr>
              <w:t>3</w:t>
            </w: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r w:rsidRPr="00705957">
              <w:rPr>
                <w:rFonts w:ascii="Tw Cen MT" w:hAnsi="Tw Cen MT"/>
                <w:b/>
                <w:sz w:val="20"/>
                <w:szCs w:val="16"/>
              </w:rPr>
              <w:t>4</w:t>
            </w:r>
          </w:p>
          <w:p w:rsidR="00ED4DFB" w:rsidRPr="00705957" w:rsidRDefault="00ED4DFB" w:rsidP="00747A44">
            <w:pPr>
              <w:jc w:val="center"/>
              <w:rPr>
                <w:rFonts w:ascii="Tw Cen MT" w:hAnsi="Tw Cen MT"/>
                <w:b/>
                <w:sz w:val="20"/>
                <w:szCs w:val="16"/>
              </w:rPr>
            </w:pPr>
          </w:p>
          <w:p w:rsidR="00ED4DFB" w:rsidRPr="00705957" w:rsidRDefault="00ED4DFB" w:rsidP="00747A44">
            <w:pPr>
              <w:jc w:val="center"/>
              <w:rPr>
                <w:rFonts w:ascii="Tw Cen MT" w:hAnsi="Tw Cen MT"/>
                <w:b/>
                <w:sz w:val="20"/>
                <w:szCs w:val="16"/>
              </w:rPr>
            </w:pPr>
          </w:p>
        </w:tc>
        <w:tc>
          <w:tcPr>
            <w:tcW w:w="3690" w:type="dxa"/>
            <w:gridSpan w:val="3"/>
          </w:tcPr>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A la apertura en libros por el saldo del ejercicio inmediato anterior.</w:t>
            </w:r>
          </w:p>
          <w:p w:rsidR="00ED4DFB" w:rsidRPr="00705957" w:rsidRDefault="00ED4DFB" w:rsidP="00747A44">
            <w:pPr>
              <w:autoSpaceDE w:val="0"/>
              <w:autoSpaceDN w:val="0"/>
              <w:adjustRightInd w:val="0"/>
              <w:rPr>
                <w:rFonts w:ascii="Tw Cen MT" w:hAnsi="Tw Cen MT" w:cs="Calibri"/>
                <w:b/>
                <w:sz w:val="20"/>
                <w:szCs w:val="16"/>
                <w:lang w:val="es-MX"/>
              </w:rPr>
            </w:pP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Por la creación o incremento de los fondos fijos de caja.</w:t>
            </w:r>
          </w:p>
          <w:p w:rsidR="00ED4DFB" w:rsidRPr="00705957" w:rsidRDefault="00ED4DFB" w:rsidP="00747A44">
            <w:pPr>
              <w:autoSpaceDE w:val="0"/>
              <w:autoSpaceDN w:val="0"/>
              <w:adjustRightInd w:val="0"/>
              <w:rPr>
                <w:rFonts w:ascii="Tw Cen MT" w:hAnsi="Tw Cen MT" w:cs="Calibri"/>
                <w:b/>
                <w:sz w:val="20"/>
                <w:szCs w:val="16"/>
                <w:lang w:val="es-MX"/>
              </w:rPr>
            </w:pP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Por el cobro de:</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Pr>
                <w:rFonts w:ascii="Tw Cen MT" w:hAnsi="Century Gothic" w:cs="SymbolMT"/>
                <w:b/>
                <w:sz w:val="20"/>
                <w:szCs w:val="16"/>
                <w:lang w:val="es-MX"/>
              </w:rPr>
              <w:t>L</w:t>
            </w:r>
            <w:r w:rsidRPr="00705957">
              <w:rPr>
                <w:rFonts w:ascii="Tw Cen MT" w:hAnsi="Tw Cen MT" w:cs="Calibri"/>
                <w:b/>
                <w:sz w:val="20"/>
                <w:szCs w:val="16"/>
                <w:lang w:val="es-MX"/>
              </w:rPr>
              <w:t>a venta de bienes y prestación de servicios</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sidRPr="00705957">
              <w:rPr>
                <w:rFonts w:ascii="Tw Cen MT" w:hAnsi="Tw Cen MT" w:cs="SymbolMT"/>
                <w:b/>
                <w:sz w:val="20"/>
                <w:szCs w:val="16"/>
                <w:lang w:val="es-MX"/>
              </w:rPr>
              <w:t xml:space="preserve"> </w:t>
            </w:r>
            <w:r>
              <w:rPr>
                <w:rFonts w:ascii="Tw Cen MT" w:hAnsi="Tw Cen MT" w:cs="SymbolMT"/>
                <w:b/>
                <w:sz w:val="20"/>
                <w:szCs w:val="16"/>
                <w:lang w:val="es-MX"/>
              </w:rPr>
              <w:t>D</w:t>
            </w:r>
            <w:r w:rsidRPr="00705957">
              <w:rPr>
                <w:rFonts w:ascii="Tw Cen MT" w:hAnsi="Tw Cen MT" w:cs="Calibri"/>
                <w:b/>
                <w:sz w:val="20"/>
                <w:szCs w:val="16"/>
                <w:lang w:val="es-MX"/>
              </w:rPr>
              <w:t>e la venta de bienes de uso inventariados</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sidRPr="00705957">
              <w:rPr>
                <w:rFonts w:ascii="Tw Cen MT" w:hAnsi="Tw Cen MT" w:cs="SymbolMT"/>
                <w:b/>
                <w:sz w:val="20"/>
                <w:szCs w:val="16"/>
                <w:lang w:val="es-MX"/>
              </w:rPr>
              <w:t xml:space="preserve"> </w:t>
            </w:r>
            <w:r>
              <w:rPr>
                <w:rFonts w:ascii="Tw Cen MT" w:hAnsi="Tw Cen MT" w:cs="SymbolMT"/>
                <w:b/>
                <w:sz w:val="20"/>
                <w:szCs w:val="16"/>
                <w:lang w:val="es-MX"/>
              </w:rPr>
              <w:t>L</w:t>
            </w:r>
            <w:r w:rsidRPr="00705957">
              <w:rPr>
                <w:rFonts w:ascii="Tw Cen MT" w:hAnsi="Tw Cen MT" w:cs="Calibri"/>
                <w:b/>
                <w:sz w:val="20"/>
                <w:szCs w:val="16"/>
                <w:lang w:val="es-MX"/>
              </w:rPr>
              <w:t>a venta de bienes muebles no registrados en el inventario.</w:t>
            </w:r>
          </w:p>
          <w:p w:rsidR="00ED4DFB" w:rsidRPr="00705957" w:rsidRDefault="00ED4DFB" w:rsidP="00747A44">
            <w:pPr>
              <w:autoSpaceDE w:val="0"/>
              <w:autoSpaceDN w:val="0"/>
              <w:adjustRightInd w:val="0"/>
              <w:rPr>
                <w:rFonts w:ascii="Tw Cen MT" w:hAnsi="Tw Cen MT" w:cs="Calibri"/>
                <w:b/>
                <w:sz w:val="20"/>
                <w:szCs w:val="16"/>
                <w:lang w:val="es-MX"/>
              </w:rPr>
            </w:pP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Por el cobro de:</w:t>
            </w:r>
          </w:p>
          <w:p w:rsidR="00ED4DFB" w:rsidRPr="00705957" w:rsidRDefault="00ED4DFB" w:rsidP="00747A44">
            <w:pPr>
              <w:autoSpaceDE w:val="0"/>
              <w:autoSpaceDN w:val="0"/>
              <w:adjustRightInd w:val="0"/>
              <w:jc w:val="both"/>
              <w:rPr>
                <w:rFonts w:ascii="Tw Cen MT" w:hAnsi="Tw Cen MT" w:cs="Calibri"/>
                <w:b/>
                <w:sz w:val="20"/>
                <w:szCs w:val="16"/>
                <w:lang w:val="es-MX"/>
              </w:rPr>
            </w:pPr>
            <w:r>
              <w:rPr>
                <w:rFonts w:ascii="Tw Cen MT" w:hAnsi="Tw Cen MT" w:cs="Calibri"/>
                <w:b/>
                <w:sz w:val="20"/>
                <w:szCs w:val="16"/>
                <w:lang w:val="es-MX"/>
              </w:rPr>
              <w:t>-L</w:t>
            </w:r>
            <w:r w:rsidRPr="00705957">
              <w:rPr>
                <w:rFonts w:ascii="Tw Cen MT" w:hAnsi="Tw Cen MT" w:cs="Calibri"/>
                <w:b/>
                <w:sz w:val="20"/>
                <w:szCs w:val="16"/>
                <w:lang w:val="es-MX"/>
              </w:rPr>
              <w:t>a venta de bienes y prestación de servicios</w:t>
            </w:r>
          </w:p>
          <w:p w:rsidR="00ED4DFB" w:rsidRPr="00705957" w:rsidRDefault="00ED4DFB" w:rsidP="00747A44">
            <w:pPr>
              <w:autoSpaceDE w:val="0"/>
              <w:autoSpaceDN w:val="0"/>
              <w:adjustRightInd w:val="0"/>
              <w:jc w:val="both"/>
              <w:rPr>
                <w:rFonts w:ascii="Tw Cen MT" w:hAnsi="Tw Cen MT" w:cs="Calibri"/>
                <w:b/>
                <w:sz w:val="20"/>
                <w:szCs w:val="16"/>
                <w:lang w:val="es-MX"/>
              </w:rPr>
            </w:pPr>
            <w:r>
              <w:rPr>
                <w:rFonts w:ascii="Tw Cen MT" w:hAnsi="Tw Cen MT" w:cs="Calibri"/>
                <w:b/>
                <w:sz w:val="20"/>
                <w:szCs w:val="16"/>
                <w:lang w:val="es-MX"/>
              </w:rPr>
              <w:t>-D</w:t>
            </w:r>
            <w:r w:rsidRPr="00705957">
              <w:rPr>
                <w:rFonts w:ascii="Tw Cen MT" w:hAnsi="Tw Cen MT" w:cs="Calibri"/>
                <w:b/>
                <w:sz w:val="20"/>
                <w:szCs w:val="16"/>
                <w:lang w:val="es-MX"/>
              </w:rPr>
              <w:t>e la venta de bienes de uso inventariados</w:t>
            </w:r>
          </w:p>
          <w:p w:rsidR="00ED4DFB" w:rsidRPr="00705957" w:rsidRDefault="00ED4DFB" w:rsidP="00747A44">
            <w:pPr>
              <w:autoSpaceDE w:val="0"/>
              <w:autoSpaceDN w:val="0"/>
              <w:adjustRightInd w:val="0"/>
              <w:jc w:val="both"/>
              <w:rPr>
                <w:rFonts w:ascii="Tw Cen MT" w:hAnsi="Tw Cen MT" w:cs="Calibri"/>
                <w:b/>
                <w:sz w:val="20"/>
                <w:szCs w:val="16"/>
                <w:lang w:val="es-MX"/>
              </w:rPr>
            </w:pPr>
            <w:r>
              <w:rPr>
                <w:rFonts w:ascii="Tw Cen MT" w:hAnsi="Tw Cen MT" w:cs="Calibri"/>
                <w:b/>
                <w:sz w:val="20"/>
                <w:szCs w:val="16"/>
                <w:lang w:val="es-MX"/>
              </w:rPr>
              <w:t>-L</w:t>
            </w:r>
            <w:r w:rsidRPr="00705957">
              <w:rPr>
                <w:rFonts w:ascii="Tw Cen MT" w:hAnsi="Tw Cen MT" w:cs="Calibri"/>
                <w:b/>
                <w:sz w:val="20"/>
                <w:szCs w:val="16"/>
                <w:lang w:val="es-MX"/>
              </w:rPr>
              <w:t>a venta de bienes muebles no registrados en el inventario.</w:t>
            </w:r>
          </w:p>
          <w:p w:rsidR="00ED4DFB" w:rsidRPr="00705957" w:rsidRDefault="00ED4DFB" w:rsidP="00747A44">
            <w:pPr>
              <w:autoSpaceDE w:val="0"/>
              <w:autoSpaceDN w:val="0"/>
              <w:adjustRightInd w:val="0"/>
              <w:jc w:val="both"/>
              <w:rPr>
                <w:rFonts w:ascii="Tw Cen MT" w:hAnsi="Tw Cen MT" w:cs="Calibri"/>
                <w:b/>
                <w:sz w:val="20"/>
                <w:szCs w:val="16"/>
                <w:lang w:val="es-MX"/>
              </w:rPr>
            </w:pPr>
            <w:r w:rsidRPr="00705957">
              <w:rPr>
                <w:rFonts w:ascii="Tw Cen MT" w:hAnsi="Tw Cen MT" w:cs="Calibri"/>
                <w:b/>
                <w:sz w:val="20"/>
                <w:szCs w:val="16"/>
                <w:lang w:val="es-MX"/>
              </w:rPr>
              <w:t xml:space="preserve"> </w:t>
            </w:r>
          </w:p>
          <w:p w:rsidR="00ED4DFB" w:rsidRPr="00705957" w:rsidRDefault="00ED4DFB" w:rsidP="00747A44">
            <w:pPr>
              <w:autoSpaceDE w:val="0"/>
              <w:autoSpaceDN w:val="0"/>
              <w:adjustRightInd w:val="0"/>
              <w:rPr>
                <w:rFonts w:ascii="Tw Cen MT" w:hAnsi="Tw Cen MT" w:cs="Calibri"/>
                <w:b/>
                <w:sz w:val="20"/>
                <w:szCs w:val="16"/>
                <w:lang w:val="es-MX"/>
              </w:rPr>
            </w:pPr>
          </w:p>
        </w:tc>
        <w:tc>
          <w:tcPr>
            <w:tcW w:w="829" w:type="dxa"/>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1</w:t>
            </w: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2</w:t>
            </w: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3</w:t>
            </w: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tc>
        <w:tc>
          <w:tcPr>
            <w:tcW w:w="4359" w:type="dxa"/>
            <w:gridSpan w:val="2"/>
          </w:tcPr>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Por la cancelación o disminución del fondo fijo de</w:t>
            </w:r>
            <w:r w:rsidR="00211A6E">
              <w:rPr>
                <w:rFonts w:ascii="Tw Cen MT" w:hAnsi="Tw Cen MT" w:cs="Calibri"/>
                <w:b/>
                <w:sz w:val="20"/>
                <w:szCs w:val="16"/>
                <w:lang w:val="es-MX"/>
              </w:rPr>
              <w:t xml:space="preserve"> </w:t>
            </w:r>
            <w:r w:rsidRPr="00705957">
              <w:rPr>
                <w:rFonts w:ascii="Tw Cen MT" w:hAnsi="Tw Cen MT" w:cs="Calibri"/>
                <w:b/>
                <w:sz w:val="20"/>
                <w:szCs w:val="16"/>
                <w:lang w:val="es-MX"/>
              </w:rPr>
              <w:t xml:space="preserve">caja. </w:t>
            </w:r>
          </w:p>
          <w:p w:rsidR="00ED4DFB" w:rsidRPr="00705957" w:rsidRDefault="00ED4DFB" w:rsidP="00747A44">
            <w:pPr>
              <w:autoSpaceDE w:val="0"/>
              <w:autoSpaceDN w:val="0"/>
              <w:adjustRightInd w:val="0"/>
              <w:rPr>
                <w:rFonts w:ascii="Tw Cen MT" w:hAnsi="Tw Cen MT" w:cs="Calibri"/>
                <w:b/>
                <w:sz w:val="20"/>
                <w:szCs w:val="16"/>
                <w:lang w:val="es-MX"/>
              </w:rPr>
            </w:pP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Tw Cen MT" w:cs="Calibri"/>
                <w:b/>
                <w:sz w:val="20"/>
                <w:szCs w:val="16"/>
                <w:lang w:val="es-MX"/>
              </w:rPr>
              <w:t>Por el depósito en bancos por:</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sidRPr="00705957">
              <w:rPr>
                <w:rFonts w:ascii="Tw Cen MT" w:hAnsi="Tw Cen MT" w:cs="SymbolMT"/>
                <w:b/>
                <w:sz w:val="20"/>
                <w:szCs w:val="16"/>
                <w:lang w:val="es-MX"/>
              </w:rPr>
              <w:t xml:space="preserve"> </w:t>
            </w:r>
            <w:r>
              <w:rPr>
                <w:rFonts w:ascii="Tw Cen MT" w:hAnsi="Tw Cen MT" w:cs="SymbolMT"/>
                <w:b/>
                <w:sz w:val="20"/>
                <w:szCs w:val="16"/>
                <w:lang w:val="es-MX"/>
              </w:rPr>
              <w:t>L</w:t>
            </w:r>
            <w:r w:rsidRPr="00705957">
              <w:rPr>
                <w:rFonts w:ascii="Tw Cen MT" w:hAnsi="Tw Cen MT" w:cs="Calibri"/>
                <w:b/>
                <w:sz w:val="20"/>
                <w:szCs w:val="16"/>
                <w:lang w:val="es-MX"/>
              </w:rPr>
              <w:t>a venta de bienes y prestación de servicios</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sidRPr="00705957">
              <w:rPr>
                <w:rFonts w:ascii="Tw Cen MT" w:hAnsi="Tw Cen MT" w:cs="SymbolMT"/>
                <w:b/>
                <w:sz w:val="20"/>
                <w:szCs w:val="16"/>
                <w:lang w:val="es-MX"/>
              </w:rPr>
              <w:t xml:space="preserve"> </w:t>
            </w:r>
            <w:r>
              <w:rPr>
                <w:rFonts w:ascii="Tw Cen MT" w:hAnsi="Tw Cen MT" w:cs="Calibri"/>
                <w:b/>
                <w:sz w:val="20"/>
                <w:szCs w:val="16"/>
                <w:lang w:val="es-MX"/>
              </w:rPr>
              <w:t>L</w:t>
            </w:r>
            <w:r w:rsidRPr="00705957">
              <w:rPr>
                <w:rFonts w:ascii="Tw Cen MT" w:hAnsi="Tw Cen MT" w:cs="Calibri"/>
                <w:b/>
                <w:sz w:val="20"/>
                <w:szCs w:val="16"/>
                <w:lang w:val="es-MX"/>
              </w:rPr>
              <w:t>a venta de bienes de uso inventariados</w:t>
            </w:r>
          </w:p>
          <w:p w:rsidR="00ED4DFB" w:rsidRPr="00705957" w:rsidRDefault="00ED4DFB" w:rsidP="00747A44">
            <w:pPr>
              <w:autoSpaceDE w:val="0"/>
              <w:autoSpaceDN w:val="0"/>
              <w:adjustRightInd w:val="0"/>
              <w:rPr>
                <w:rFonts w:ascii="Tw Cen MT" w:hAnsi="Tw Cen MT" w:cs="Calibri"/>
                <w:b/>
                <w:sz w:val="20"/>
                <w:szCs w:val="16"/>
                <w:lang w:val="es-MX"/>
              </w:rPr>
            </w:pPr>
            <w:r w:rsidRPr="00705957">
              <w:rPr>
                <w:rFonts w:ascii="Tw Cen MT" w:hAnsi="Century Gothic" w:cs="SymbolMT"/>
                <w:b/>
                <w:sz w:val="20"/>
                <w:szCs w:val="16"/>
                <w:lang w:val="es-MX"/>
              </w:rPr>
              <w:t>−</w:t>
            </w:r>
            <w:r>
              <w:rPr>
                <w:rFonts w:ascii="Tw Cen MT" w:hAnsi="Century Gothic" w:cs="SymbolMT"/>
                <w:b/>
                <w:sz w:val="20"/>
                <w:szCs w:val="16"/>
                <w:lang w:val="es-MX"/>
              </w:rPr>
              <w:t>L</w:t>
            </w:r>
            <w:r w:rsidRPr="00705957">
              <w:rPr>
                <w:rFonts w:ascii="Tw Cen MT" w:hAnsi="Tw Cen MT" w:cs="Calibri"/>
                <w:b/>
                <w:sz w:val="20"/>
                <w:szCs w:val="16"/>
                <w:lang w:val="es-MX"/>
              </w:rPr>
              <w:t>a venta de bienes muebles no registrados en</w:t>
            </w:r>
          </w:p>
          <w:p w:rsidR="00ED4DFB" w:rsidRPr="00705957" w:rsidRDefault="00ED4DFB" w:rsidP="00747A44">
            <w:pPr>
              <w:rPr>
                <w:rFonts w:ascii="Tw Cen MT" w:hAnsi="Tw Cen MT" w:cs="Calibri"/>
                <w:b/>
                <w:sz w:val="20"/>
                <w:szCs w:val="16"/>
                <w:lang w:val="es-MX"/>
              </w:rPr>
            </w:pPr>
            <w:r w:rsidRPr="00705957">
              <w:rPr>
                <w:rFonts w:ascii="Tw Cen MT" w:hAnsi="Tw Cen MT" w:cs="Calibri"/>
                <w:b/>
                <w:sz w:val="20"/>
                <w:szCs w:val="16"/>
                <w:lang w:val="es-MX"/>
              </w:rPr>
              <w:t>el inventario</w:t>
            </w:r>
          </w:p>
          <w:p w:rsidR="00ED4DFB" w:rsidRPr="00705957" w:rsidRDefault="00ED4DFB" w:rsidP="00747A44">
            <w:pPr>
              <w:rPr>
                <w:rFonts w:ascii="Tw Cen MT" w:hAnsi="Tw Cen MT" w:cs="Calibri"/>
                <w:b/>
                <w:sz w:val="20"/>
                <w:szCs w:val="16"/>
                <w:lang w:val="es-MX"/>
              </w:rPr>
            </w:pPr>
          </w:p>
          <w:p w:rsidR="00ED4DFB" w:rsidRPr="00705957" w:rsidRDefault="00ED4DFB" w:rsidP="00747A44">
            <w:pPr>
              <w:rPr>
                <w:rFonts w:ascii="Tw Cen MT" w:hAnsi="Tw Cen MT" w:cs="Calibri"/>
                <w:b/>
                <w:sz w:val="20"/>
                <w:szCs w:val="16"/>
                <w:lang w:val="es-MX"/>
              </w:rPr>
            </w:pPr>
            <w:r w:rsidRPr="00705957">
              <w:rPr>
                <w:rFonts w:ascii="Tw Cen MT" w:hAnsi="Tw Cen MT" w:cs="Calibri"/>
                <w:b/>
                <w:sz w:val="20"/>
                <w:szCs w:val="16"/>
                <w:lang w:val="es-MX"/>
              </w:rPr>
              <w:t>Al cierre de libros por el saldo deudor de la cuenta.</w:t>
            </w:r>
          </w:p>
          <w:p w:rsidR="00ED4DFB" w:rsidRPr="00705957" w:rsidRDefault="00ED4DFB" w:rsidP="00747A44">
            <w:pPr>
              <w:rPr>
                <w:rFonts w:ascii="Tw Cen MT" w:hAnsi="Tw Cen MT" w:cs="Calibri"/>
                <w:b/>
                <w:sz w:val="20"/>
                <w:szCs w:val="16"/>
                <w:lang w:val="es-MX"/>
              </w:rPr>
            </w:pPr>
          </w:p>
          <w:p w:rsidR="00ED4DFB" w:rsidRPr="00705957" w:rsidRDefault="00ED4DFB" w:rsidP="00747A44">
            <w:pPr>
              <w:rPr>
                <w:rFonts w:ascii="Tw Cen MT" w:hAnsi="Tw Cen MT" w:cs="Calibri"/>
                <w:b/>
                <w:sz w:val="20"/>
                <w:szCs w:val="16"/>
                <w:lang w:val="es-MX"/>
              </w:rPr>
            </w:pPr>
          </w:p>
          <w:p w:rsidR="00ED4DFB" w:rsidRPr="00705957" w:rsidRDefault="00ED4DFB" w:rsidP="00747A44">
            <w:pPr>
              <w:rPr>
                <w:rFonts w:ascii="Tw Cen MT" w:hAnsi="Tw Cen MT"/>
                <w:b/>
                <w:sz w:val="20"/>
                <w:szCs w:val="16"/>
                <w:lang w:val="es-MX"/>
              </w:rPr>
            </w:pPr>
          </w:p>
        </w:tc>
      </w:tr>
      <w:tr w:rsidR="00ED4DFB" w:rsidRPr="00705957" w:rsidTr="00CA5FF6">
        <w:trPr>
          <w:trHeight w:val="654"/>
        </w:trPr>
        <w:tc>
          <w:tcPr>
            <w:tcW w:w="9613"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SU SALDO REPRESENTA</w:t>
            </w:r>
          </w:p>
          <w:p w:rsidR="00ED4DFB" w:rsidRPr="00705957" w:rsidRDefault="00ED4DFB" w:rsidP="00211A6E">
            <w:pPr>
              <w:rPr>
                <w:rFonts w:ascii="Tw Cen MT" w:hAnsi="Tw Cen MT"/>
                <w:b/>
                <w:sz w:val="20"/>
                <w:szCs w:val="16"/>
                <w:lang w:val="es-MX"/>
              </w:rPr>
            </w:pPr>
            <w:r w:rsidRPr="00705957">
              <w:rPr>
                <w:rFonts w:ascii="Tw Cen MT" w:hAnsi="Tw Cen MT" w:cs="Calibri"/>
                <w:b/>
                <w:sz w:val="20"/>
                <w:szCs w:val="16"/>
                <w:lang w:val="es-MX"/>
              </w:rPr>
              <w:t>El monto en dinero propiedad de</w:t>
            </w:r>
            <w:r w:rsidR="00211A6E">
              <w:rPr>
                <w:rFonts w:ascii="Tw Cen MT" w:hAnsi="Tw Cen MT" w:cs="Calibri"/>
                <w:b/>
                <w:sz w:val="20"/>
                <w:szCs w:val="16"/>
                <w:lang w:val="es-MX"/>
              </w:rPr>
              <w:t>l ente</w:t>
            </w:r>
            <w:r w:rsidRPr="00705957">
              <w:rPr>
                <w:rFonts w:ascii="Tw Cen MT" w:hAnsi="Tw Cen MT" w:cs="Calibri"/>
                <w:b/>
                <w:sz w:val="20"/>
                <w:szCs w:val="16"/>
                <w:lang w:val="es-MX"/>
              </w:rPr>
              <w:t xml:space="preserve"> a su cuidado y administración.</w:t>
            </w:r>
          </w:p>
        </w:tc>
      </w:tr>
      <w:tr w:rsidR="00ED4DFB" w:rsidRPr="00705957" w:rsidTr="00CA5FF6">
        <w:trPr>
          <w:trHeight w:val="645"/>
        </w:trPr>
        <w:tc>
          <w:tcPr>
            <w:tcW w:w="9613"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OBSERVACIONES</w:t>
            </w:r>
          </w:p>
          <w:p w:rsidR="00ED4DFB" w:rsidRPr="00705957" w:rsidRDefault="00ED4DFB" w:rsidP="00747A44">
            <w:pPr>
              <w:rPr>
                <w:rFonts w:ascii="Tw Cen MT" w:hAnsi="Tw Cen MT"/>
                <w:b/>
                <w:sz w:val="20"/>
                <w:szCs w:val="16"/>
                <w:lang w:val="es-MX"/>
              </w:rPr>
            </w:pPr>
            <w:r w:rsidRPr="00705957">
              <w:rPr>
                <w:rFonts w:ascii="Tw Cen MT" w:hAnsi="Tw Cen MT" w:cs="Calibri"/>
                <w:b/>
                <w:sz w:val="20"/>
                <w:szCs w:val="16"/>
                <w:lang w:val="es-MX"/>
              </w:rPr>
              <w:t>Se entiende por efectivo: billetes, monedas y cheques.</w:t>
            </w:r>
          </w:p>
        </w:tc>
      </w:tr>
    </w:tbl>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tbl>
      <w:tblPr>
        <w:tblStyle w:val="Tablaconcuadrcula"/>
        <w:tblpPr w:leftFromText="180" w:rightFromText="180" w:vertAnchor="text" w:horzAnchor="margin" w:tblpY="378"/>
        <w:tblW w:w="9537" w:type="dxa"/>
        <w:tblLook w:val="04A0"/>
      </w:tblPr>
      <w:tblGrid>
        <w:gridCol w:w="881"/>
        <w:gridCol w:w="996"/>
        <w:gridCol w:w="1631"/>
        <w:gridCol w:w="958"/>
        <w:gridCol w:w="821"/>
        <w:gridCol w:w="1909"/>
        <w:gridCol w:w="2341"/>
      </w:tblGrid>
      <w:tr w:rsidR="00ED4DFB" w:rsidRPr="00705957" w:rsidTr="00CA5FF6">
        <w:trPr>
          <w:trHeight w:val="611"/>
        </w:trPr>
        <w:tc>
          <w:tcPr>
            <w:tcW w:w="1872"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lastRenderedPageBreak/>
              <w:t>NUMERO</w:t>
            </w:r>
          </w:p>
        </w:tc>
        <w:tc>
          <w:tcPr>
            <w:tcW w:w="1632"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GENERO</w:t>
            </w:r>
          </w:p>
        </w:tc>
        <w:tc>
          <w:tcPr>
            <w:tcW w:w="1780"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GRUPO</w:t>
            </w:r>
          </w:p>
        </w:tc>
        <w:tc>
          <w:tcPr>
            <w:tcW w:w="1911"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RUBRO</w:t>
            </w:r>
          </w:p>
        </w:tc>
        <w:tc>
          <w:tcPr>
            <w:tcW w:w="2342"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NATURALEZA</w:t>
            </w:r>
          </w:p>
        </w:tc>
      </w:tr>
      <w:tr w:rsidR="00ED4DFB" w:rsidRPr="00705957" w:rsidTr="00CA5FF6">
        <w:trPr>
          <w:trHeight w:val="871"/>
        </w:trPr>
        <w:tc>
          <w:tcPr>
            <w:tcW w:w="1872"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1.</w:t>
            </w:r>
            <w:r>
              <w:rPr>
                <w:rFonts w:ascii="Tw Cen MT" w:hAnsi="Tw Cen MT"/>
                <w:b/>
                <w:sz w:val="20"/>
                <w:szCs w:val="16"/>
                <w:lang w:val="es-MX"/>
              </w:rPr>
              <w:t>2.4</w:t>
            </w:r>
            <w:r w:rsidRPr="00705957">
              <w:rPr>
                <w:rFonts w:ascii="Tw Cen MT" w:hAnsi="Tw Cen MT"/>
                <w:b/>
                <w:sz w:val="20"/>
                <w:szCs w:val="16"/>
                <w:lang w:val="es-MX"/>
              </w:rPr>
              <w:t>.</w:t>
            </w:r>
            <w:r>
              <w:rPr>
                <w:rFonts w:ascii="Tw Cen MT" w:hAnsi="Tw Cen MT"/>
                <w:b/>
                <w:sz w:val="20"/>
                <w:szCs w:val="16"/>
                <w:lang w:val="es-MX"/>
              </w:rPr>
              <w:t>1</w:t>
            </w:r>
          </w:p>
        </w:tc>
        <w:tc>
          <w:tcPr>
            <w:tcW w:w="1632"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A</w:t>
            </w:r>
            <w:r w:rsidRPr="00705957">
              <w:rPr>
                <w:rFonts w:ascii="Tw Cen MT" w:hAnsi="Tw Cen MT"/>
                <w:b/>
                <w:sz w:val="20"/>
                <w:szCs w:val="16"/>
                <w:lang w:val="es-MX"/>
              </w:rPr>
              <w:t>ctivo</w:t>
            </w:r>
            <w:r>
              <w:rPr>
                <w:rFonts w:ascii="Tw Cen MT" w:hAnsi="Tw Cen MT"/>
                <w:b/>
                <w:sz w:val="20"/>
                <w:szCs w:val="16"/>
                <w:lang w:val="es-MX"/>
              </w:rPr>
              <w:t>s</w:t>
            </w:r>
          </w:p>
        </w:tc>
        <w:tc>
          <w:tcPr>
            <w:tcW w:w="1780"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Activo</w:t>
            </w:r>
            <w:r>
              <w:rPr>
                <w:rFonts w:ascii="Tw Cen MT" w:hAnsi="Tw Cen MT"/>
                <w:b/>
                <w:sz w:val="20"/>
                <w:szCs w:val="16"/>
                <w:lang w:val="es-MX"/>
              </w:rPr>
              <w:t>s No</w:t>
            </w:r>
            <w:r w:rsidRPr="00705957">
              <w:rPr>
                <w:rFonts w:ascii="Tw Cen MT" w:hAnsi="Tw Cen MT"/>
                <w:b/>
                <w:sz w:val="20"/>
                <w:szCs w:val="16"/>
                <w:lang w:val="es-MX"/>
              </w:rPr>
              <w:t xml:space="preserve"> circulante</w:t>
            </w:r>
            <w:r>
              <w:rPr>
                <w:rFonts w:ascii="Tw Cen MT" w:hAnsi="Tw Cen MT"/>
                <w:b/>
                <w:sz w:val="20"/>
                <w:szCs w:val="16"/>
                <w:lang w:val="es-MX"/>
              </w:rPr>
              <w:t>s</w:t>
            </w:r>
          </w:p>
        </w:tc>
        <w:tc>
          <w:tcPr>
            <w:tcW w:w="1911"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Bienes Muebles</w:t>
            </w:r>
          </w:p>
        </w:tc>
        <w:tc>
          <w:tcPr>
            <w:tcW w:w="2342"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Deudora</w:t>
            </w:r>
          </w:p>
        </w:tc>
      </w:tr>
      <w:tr w:rsidR="00ED4DFB" w:rsidRPr="00F44564" w:rsidTr="00CA5FF6">
        <w:trPr>
          <w:trHeight w:val="611"/>
        </w:trPr>
        <w:tc>
          <w:tcPr>
            <w:tcW w:w="1872" w:type="dxa"/>
            <w:gridSpan w:val="2"/>
            <w:tcBorders>
              <w:bottom w:val="single" w:sz="4" w:space="0" w:color="auto"/>
            </w:tcBorders>
            <w:vAlign w:val="center"/>
          </w:tcPr>
          <w:p w:rsidR="00ED4DFB" w:rsidRPr="00705957" w:rsidRDefault="00ED4DFB" w:rsidP="00747A44">
            <w:pP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CUENTA</w:t>
            </w:r>
          </w:p>
        </w:tc>
        <w:tc>
          <w:tcPr>
            <w:tcW w:w="7665" w:type="dxa"/>
            <w:gridSpan w:val="5"/>
            <w:tcBorders>
              <w:bottom w:val="single" w:sz="4" w:space="0" w:color="auto"/>
            </w:tcBorders>
            <w:vAlign w:val="center"/>
          </w:tcPr>
          <w:p w:rsidR="00ED4DFB" w:rsidRPr="00F44564" w:rsidRDefault="00ED4DFB" w:rsidP="00747A44">
            <w:pPr>
              <w:rPr>
                <w:rFonts w:ascii="Segoe UI" w:hAnsi="Segoe UI" w:cs="Segoe UI"/>
                <w:b/>
                <w:sz w:val="20"/>
                <w:szCs w:val="16"/>
                <w:lang w:val="es-MX"/>
              </w:rPr>
            </w:pPr>
            <w:r>
              <w:rPr>
                <w:rFonts w:ascii="Tw Cen MT" w:hAnsi="Tw Cen MT"/>
                <w:b/>
                <w:sz w:val="20"/>
                <w:szCs w:val="16"/>
                <w:lang w:val="es-MX"/>
              </w:rPr>
              <w:t>Mobiliario y Equipo de Administración</w:t>
            </w:r>
          </w:p>
        </w:tc>
      </w:tr>
      <w:tr w:rsidR="00ED4DFB" w:rsidRPr="00705957" w:rsidTr="00CA5FF6">
        <w:trPr>
          <w:trHeight w:val="379"/>
        </w:trPr>
        <w:tc>
          <w:tcPr>
            <w:tcW w:w="9537" w:type="dxa"/>
            <w:gridSpan w:val="7"/>
            <w:tcBorders>
              <w:top w:val="single" w:sz="4" w:space="0" w:color="auto"/>
              <w:left w:val="nil"/>
              <w:bottom w:val="single" w:sz="4" w:space="0" w:color="auto"/>
              <w:right w:val="nil"/>
            </w:tcBorders>
            <w:vAlign w:val="center"/>
          </w:tcPr>
          <w:p w:rsidR="00ED4DFB" w:rsidRPr="00705957" w:rsidRDefault="00ED4DFB" w:rsidP="00747A44">
            <w:pPr>
              <w:jc w:val="center"/>
              <w:rPr>
                <w:rFonts w:ascii="Tw Cen MT" w:hAnsi="Tw Cen MT"/>
                <w:b/>
                <w:sz w:val="16"/>
                <w:szCs w:val="16"/>
                <w:lang w:val="es-MX"/>
              </w:rPr>
            </w:pPr>
          </w:p>
        </w:tc>
      </w:tr>
      <w:tr w:rsidR="00ED4DFB" w:rsidRPr="00705957" w:rsidTr="00CA5FF6">
        <w:trPr>
          <w:trHeight w:val="611"/>
        </w:trPr>
        <w:tc>
          <w:tcPr>
            <w:tcW w:w="875" w:type="dxa"/>
            <w:tcBorders>
              <w:top w:val="single" w:sz="4" w:space="0" w:color="auto"/>
            </w:tcBorders>
            <w:vAlign w:val="center"/>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 xml:space="preserve">   No.</w:t>
            </w:r>
          </w:p>
        </w:tc>
        <w:tc>
          <w:tcPr>
            <w:tcW w:w="3588" w:type="dxa"/>
            <w:gridSpan w:val="3"/>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CARGO</w:t>
            </w:r>
          </w:p>
        </w:tc>
        <w:tc>
          <w:tcPr>
            <w:tcW w:w="820" w:type="dxa"/>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No.</w:t>
            </w:r>
          </w:p>
        </w:tc>
        <w:tc>
          <w:tcPr>
            <w:tcW w:w="4253" w:type="dxa"/>
            <w:gridSpan w:val="2"/>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ABONO</w:t>
            </w:r>
          </w:p>
        </w:tc>
      </w:tr>
      <w:tr w:rsidR="00ED4DFB" w:rsidRPr="00975ED0" w:rsidTr="00CA5FF6">
        <w:trPr>
          <w:trHeight w:val="6150"/>
        </w:trPr>
        <w:tc>
          <w:tcPr>
            <w:tcW w:w="875" w:type="dxa"/>
          </w:tcPr>
          <w:p w:rsidR="00ED4DFB" w:rsidRDefault="00ED4DFB" w:rsidP="00747A44">
            <w:pPr>
              <w:jc w:val="center"/>
              <w:rPr>
                <w:rFonts w:ascii="Tw Cen MT" w:hAnsi="Tw Cen MT"/>
                <w:b/>
                <w:sz w:val="20"/>
                <w:szCs w:val="16"/>
                <w:lang w:val="es-MX"/>
              </w:rPr>
            </w:pPr>
            <w:r w:rsidRPr="00B068FF">
              <w:rPr>
                <w:rFonts w:ascii="Tw Cen MT" w:hAnsi="Tw Cen MT"/>
                <w:b/>
                <w:sz w:val="20"/>
                <w:szCs w:val="16"/>
                <w:lang w:val="es-MX"/>
              </w:rPr>
              <w:t>1</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2</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3</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18"/>
                <w:szCs w:val="18"/>
                <w:lang w:val="es-MX"/>
              </w:rPr>
            </w:pPr>
            <w:r>
              <w:rPr>
                <w:rFonts w:ascii="Tw Cen MT" w:hAnsi="Tw Cen MT"/>
                <w:b/>
                <w:sz w:val="18"/>
                <w:szCs w:val="18"/>
                <w:lang w:val="es-MX"/>
              </w:rPr>
              <w:t>1.2.4.1.1</w:t>
            </w:r>
          </w:p>
          <w:p w:rsidR="00ED4DFB" w:rsidRDefault="00ED4DFB" w:rsidP="00747A44">
            <w:pPr>
              <w:jc w:val="center"/>
              <w:rPr>
                <w:rFonts w:ascii="Tw Cen MT" w:hAnsi="Tw Cen MT"/>
                <w:b/>
                <w:sz w:val="18"/>
                <w:szCs w:val="18"/>
                <w:lang w:val="es-MX"/>
              </w:rPr>
            </w:pPr>
            <w:r>
              <w:rPr>
                <w:rFonts w:ascii="Tw Cen MT" w:hAnsi="Tw Cen MT"/>
                <w:b/>
                <w:sz w:val="18"/>
                <w:szCs w:val="18"/>
                <w:lang w:val="es-MX"/>
              </w:rPr>
              <w:t>1.2.4.1.2</w:t>
            </w:r>
          </w:p>
          <w:p w:rsidR="00ED4DFB" w:rsidRDefault="00ED4DFB" w:rsidP="00747A44">
            <w:pPr>
              <w:jc w:val="center"/>
              <w:rPr>
                <w:rFonts w:ascii="Tw Cen MT" w:hAnsi="Tw Cen MT"/>
                <w:b/>
                <w:sz w:val="18"/>
                <w:szCs w:val="18"/>
                <w:lang w:val="es-MX"/>
              </w:rPr>
            </w:pPr>
            <w:r>
              <w:rPr>
                <w:rFonts w:ascii="Tw Cen MT" w:hAnsi="Tw Cen MT"/>
                <w:b/>
                <w:sz w:val="18"/>
                <w:szCs w:val="18"/>
                <w:lang w:val="es-MX"/>
              </w:rPr>
              <w:t>1.2.4.1.3</w:t>
            </w:r>
          </w:p>
          <w:p w:rsidR="00ED4DFB" w:rsidRDefault="00ED4DFB" w:rsidP="00747A44">
            <w:pPr>
              <w:jc w:val="center"/>
              <w:rPr>
                <w:rFonts w:ascii="Tw Cen MT" w:hAnsi="Tw Cen MT"/>
                <w:b/>
                <w:sz w:val="18"/>
                <w:szCs w:val="18"/>
                <w:lang w:val="es-MX"/>
              </w:rPr>
            </w:pPr>
          </w:p>
          <w:p w:rsidR="00ED4DFB" w:rsidRPr="000569B9" w:rsidRDefault="00ED4DFB" w:rsidP="00747A44">
            <w:pPr>
              <w:jc w:val="center"/>
              <w:rPr>
                <w:rFonts w:ascii="Tw Cen MT" w:hAnsi="Tw Cen MT"/>
                <w:b/>
                <w:sz w:val="18"/>
                <w:szCs w:val="18"/>
                <w:lang w:val="es-MX"/>
              </w:rPr>
            </w:pPr>
            <w:r>
              <w:rPr>
                <w:rFonts w:ascii="Tw Cen MT" w:hAnsi="Tw Cen MT"/>
                <w:b/>
                <w:sz w:val="18"/>
                <w:szCs w:val="18"/>
                <w:lang w:val="es-MX"/>
              </w:rPr>
              <w:t>1.2.4.1.9</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Pr="00B068FF" w:rsidRDefault="00ED4DFB" w:rsidP="00747A44">
            <w:pPr>
              <w:jc w:val="center"/>
              <w:rPr>
                <w:rFonts w:ascii="Tw Cen MT" w:hAnsi="Tw Cen MT"/>
                <w:b/>
                <w:sz w:val="20"/>
                <w:szCs w:val="16"/>
                <w:lang w:val="es-MX"/>
              </w:rPr>
            </w:pPr>
          </w:p>
        </w:tc>
        <w:tc>
          <w:tcPr>
            <w:tcW w:w="3588" w:type="dxa"/>
            <w:gridSpan w:val="3"/>
          </w:tcPr>
          <w:p w:rsidR="00ED4DFB" w:rsidRDefault="00ED4DFB" w:rsidP="00747A44">
            <w:pPr>
              <w:rPr>
                <w:rFonts w:ascii="Tw Cen MT" w:hAnsi="Tw Cen MT" w:cs="Calibri"/>
                <w:b/>
                <w:sz w:val="20"/>
                <w:szCs w:val="16"/>
                <w:lang w:val="es-MX"/>
              </w:rPr>
            </w:pPr>
            <w:r>
              <w:rPr>
                <w:rFonts w:ascii="Tw Cen MT" w:hAnsi="Tw Cen MT" w:cs="Calibri"/>
                <w:b/>
                <w:sz w:val="20"/>
                <w:szCs w:val="16"/>
                <w:lang w:val="es-MX"/>
              </w:rPr>
              <w:t>A la apertura en libros por el saldo  del ejercicio inmediato anterior.</w:t>
            </w:r>
          </w:p>
          <w:p w:rsidR="00ED4DFB" w:rsidRDefault="00ED4DFB" w:rsidP="00747A44">
            <w:pPr>
              <w:rPr>
                <w:rFonts w:ascii="Tw Cen MT" w:hAnsi="Tw Cen MT" w:cs="Calibri"/>
                <w:b/>
                <w:sz w:val="20"/>
                <w:szCs w:val="16"/>
                <w:lang w:val="es-MX"/>
              </w:rPr>
            </w:pP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Por el devengado de la adquisición:</w:t>
            </w: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-Muebles de oficina y estantería</w:t>
            </w: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-Muebles, excepto de oficina y estantería -Equipo de cómputo y de tecnologías de la información.</w:t>
            </w: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-Otros mobiliarios y equipos de administración.</w:t>
            </w:r>
          </w:p>
          <w:p w:rsidR="00ED4DFB" w:rsidRDefault="00ED4DFB" w:rsidP="00747A44">
            <w:pPr>
              <w:rPr>
                <w:rFonts w:ascii="Tw Cen MT" w:hAnsi="Tw Cen MT" w:cs="Calibri"/>
                <w:b/>
                <w:sz w:val="20"/>
                <w:szCs w:val="16"/>
                <w:lang w:val="es-MX"/>
              </w:rPr>
            </w:pP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Por la aplicación de anticipos a proveedores.</w:t>
            </w: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VI-137</w:t>
            </w:r>
          </w:p>
          <w:p w:rsidR="00ED4DFB" w:rsidRDefault="00ED4DFB" w:rsidP="00747A44">
            <w:pPr>
              <w:rPr>
                <w:rFonts w:ascii="Tw Cen MT" w:hAnsi="Tw Cen MT" w:cs="Calibri"/>
                <w:b/>
                <w:sz w:val="20"/>
                <w:szCs w:val="16"/>
                <w:lang w:val="es-MX"/>
              </w:rPr>
            </w:pPr>
          </w:p>
          <w:p w:rsidR="00ED4DFB" w:rsidRDefault="00ED4DFB" w:rsidP="00747A44">
            <w:pPr>
              <w:rPr>
                <w:rFonts w:ascii="Tw Cen MT" w:hAnsi="Tw Cen MT" w:cs="Calibri"/>
                <w:b/>
                <w:sz w:val="20"/>
                <w:szCs w:val="16"/>
                <w:lang w:val="es-MX"/>
              </w:rPr>
            </w:pPr>
            <w:r>
              <w:rPr>
                <w:rFonts w:ascii="Tw Cen MT" w:hAnsi="Tw Cen MT" w:cs="Calibri"/>
                <w:b/>
                <w:sz w:val="20"/>
                <w:szCs w:val="16"/>
                <w:lang w:val="es-MX"/>
              </w:rPr>
              <w:t>SUBCUENTAS COMPRENDIDAS</w:t>
            </w:r>
          </w:p>
          <w:p w:rsidR="00ED4DFB" w:rsidRDefault="00ED4DFB" w:rsidP="00747A44">
            <w:pPr>
              <w:rPr>
                <w:rFonts w:ascii="Tw Cen MT" w:hAnsi="Tw Cen MT" w:cs="Calibri"/>
                <w:b/>
                <w:sz w:val="18"/>
                <w:szCs w:val="18"/>
                <w:lang w:val="es-MX"/>
              </w:rPr>
            </w:pPr>
            <w:r>
              <w:rPr>
                <w:rFonts w:ascii="Tw Cen MT" w:hAnsi="Tw Cen MT" w:cs="Calibri"/>
                <w:b/>
                <w:sz w:val="18"/>
                <w:szCs w:val="18"/>
                <w:lang w:val="es-MX"/>
              </w:rPr>
              <w:t>Muebles de oficina y estantería</w:t>
            </w:r>
          </w:p>
          <w:p w:rsidR="00ED4DFB" w:rsidRDefault="00ED4DFB" w:rsidP="00747A44">
            <w:pPr>
              <w:rPr>
                <w:rFonts w:ascii="Tw Cen MT" w:hAnsi="Tw Cen MT" w:cs="Calibri"/>
                <w:b/>
                <w:sz w:val="18"/>
                <w:szCs w:val="18"/>
                <w:lang w:val="es-MX"/>
              </w:rPr>
            </w:pPr>
            <w:r>
              <w:rPr>
                <w:rFonts w:ascii="Tw Cen MT" w:hAnsi="Tw Cen MT" w:cs="Calibri"/>
                <w:b/>
                <w:sz w:val="18"/>
                <w:szCs w:val="18"/>
                <w:lang w:val="es-MX"/>
              </w:rPr>
              <w:t>Muebles, excepto de oficina y estantería</w:t>
            </w:r>
          </w:p>
          <w:p w:rsidR="00ED4DFB" w:rsidRDefault="00ED4DFB" w:rsidP="00747A44">
            <w:pPr>
              <w:rPr>
                <w:rFonts w:ascii="Tw Cen MT" w:hAnsi="Tw Cen MT" w:cs="Calibri"/>
                <w:b/>
                <w:sz w:val="18"/>
                <w:szCs w:val="18"/>
                <w:lang w:val="es-MX"/>
              </w:rPr>
            </w:pPr>
            <w:r>
              <w:rPr>
                <w:rFonts w:ascii="Tw Cen MT" w:hAnsi="Tw Cen MT" w:cs="Calibri"/>
                <w:b/>
                <w:sz w:val="18"/>
                <w:szCs w:val="18"/>
                <w:lang w:val="es-MX"/>
              </w:rPr>
              <w:t>Equipo de computo y de tecnologías de la información.</w:t>
            </w:r>
          </w:p>
          <w:p w:rsidR="00ED4DFB" w:rsidRDefault="00ED4DFB" w:rsidP="00747A44">
            <w:pPr>
              <w:rPr>
                <w:rFonts w:ascii="Tw Cen MT" w:hAnsi="Tw Cen MT" w:cs="Calibri"/>
                <w:b/>
                <w:sz w:val="18"/>
                <w:szCs w:val="18"/>
                <w:lang w:val="es-MX"/>
              </w:rPr>
            </w:pPr>
            <w:r>
              <w:rPr>
                <w:rFonts w:ascii="Tw Cen MT" w:hAnsi="Tw Cen MT" w:cs="Calibri"/>
                <w:b/>
                <w:sz w:val="18"/>
                <w:szCs w:val="18"/>
                <w:lang w:val="es-MX"/>
              </w:rPr>
              <w:t>Otros mobiliarios y equipos de administración.</w:t>
            </w:r>
          </w:p>
          <w:p w:rsidR="00ED4DFB" w:rsidRPr="000569B9" w:rsidRDefault="00ED4DFB" w:rsidP="00747A44">
            <w:pPr>
              <w:rPr>
                <w:rFonts w:ascii="Tw Cen MT" w:hAnsi="Tw Cen MT" w:cs="Calibri"/>
                <w:b/>
                <w:sz w:val="18"/>
                <w:szCs w:val="18"/>
                <w:lang w:val="es-MX"/>
              </w:rPr>
            </w:pPr>
          </w:p>
        </w:tc>
        <w:tc>
          <w:tcPr>
            <w:tcW w:w="820" w:type="dxa"/>
          </w:tcPr>
          <w:p w:rsidR="00ED4DFB" w:rsidRDefault="00ED4DFB" w:rsidP="00747A44">
            <w:pPr>
              <w:jc w:val="center"/>
              <w:rPr>
                <w:rFonts w:ascii="Tw Cen MT" w:hAnsi="Tw Cen MT"/>
                <w:b/>
                <w:sz w:val="20"/>
                <w:szCs w:val="16"/>
                <w:lang w:val="es-MX"/>
              </w:rPr>
            </w:pPr>
            <w:r w:rsidRPr="00705957">
              <w:rPr>
                <w:rFonts w:ascii="Tw Cen MT" w:hAnsi="Tw Cen MT"/>
                <w:b/>
                <w:sz w:val="20"/>
                <w:szCs w:val="16"/>
                <w:lang w:val="es-MX"/>
              </w:rPr>
              <w:t>1</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2</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18"/>
                <w:szCs w:val="18"/>
                <w:lang w:val="es-MX"/>
              </w:rPr>
            </w:pPr>
            <w:r>
              <w:rPr>
                <w:rFonts w:ascii="Tw Cen MT" w:hAnsi="Tw Cen MT"/>
                <w:b/>
                <w:sz w:val="18"/>
                <w:szCs w:val="18"/>
                <w:lang w:val="es-MX"/>
              </w:rPr>
              <w:t>511</w:t>
            </w:r>
          </w:p>
          <w:p w:rsidR="00ED4DFB" w:rsidRDefault="00ED4DFB" w:rsidP="00747A44">
            <w:pPr>
              <w:jc w:val="center"/>
              <w:rPr>
                <w:rFonts w:ascii="Tw Cen MT" w:hAnsi="Tw Cen MT"/>
                <w:b/>
                <w:sz w:val="18"/>
                <w:szCs w:val="18"/>
                <w:lang w:val="es-MX"/>
              </w:rPr>
            </w:pPr>
            <w:r>
              <w:rPr>
                <w:rFonts w:ascii="Tw Cen MT" w:hAnsi="Tw Cen MT"/>
                <w:b/>
                <w:sz w:val="18"/>
                <w:szCs w:val="18"/>
                <w:lang w:val="es-MX"/>
              </w:rPr>
              <w:t>512</w:t>
            </w:r>
          </w:p>
          <w:p w:rsidR="00ED4DFB" w:rsidRDefault="00ED4DFB" w:rsidP="00747A44">
            <w:pPr>
              <w:jc w:val="center"/>
              <w:rPr>
                <w:rFonts w:ascii="Tw Cen MT" w:hAnsi="Tw Cen MT"/>
                <w:b/>
                <w:sz w:val="18"/>
                <w:szCs w:val="18"/>
                <w:lang w:val="es-MX"/>
              </w:rPr>
            </w:pPr>
            <w:r>
              <w:rPr>
                <w:rFonts w:ascii="Tw Cen MT" w:hAnsi="Tw Cen MT"/>
                <w:b/>
                <w:sz w:val="18"/>
                <w:szCs w:val="18"/>
                <w:lang w:val="es-MX"/>
              </w:rPr>
              <w:t>515</w:t>
            </w:r>
          </w:p>
          <w:p w:rsidR="00ED4DFB" w:rsidRDefault="00ED4DFB" w:rsidP="00747A44">
            <w:pPr>
              <w:jc w:val="center"/>
              <w:rPr>
                <w:rFonts w:ascii="Tw Cen MT" w:hAnsi="Tw Cen MT"/>
                <w:b/>
                <w:sz w:val="18"/>
                <w:szCs w:val="18"/>
                <w:lang w:val="es-MX"/>
              </w:rPr>
            </w:pPr>
          </w:p>
          <w:p w:rsidR="00ED4DFB" w:rsidRPr="000569B9" w:rsidRDefault="00ED4DFB" w:rsidP="00747A44">
            <w:pPr>
              <w:jc w:val="center"/>
              <w:rPr>
                <w:rFonts w:ascii="Tw Cen MT" w:hAnsi="Tw Cen MT"/>
                <w:b/>
                <w:sz w:val="18"/>
                <w:szCs w:val="18"/>
                <w:lang w:val="es-MX"/>
              </w:rPr>
            </w:pPr>
            <w:r>
              <w:rPr>
                <w:rFonts w:ascii="Tw Cen MT" w:hAnsi="Tw Cen MT"/>
                <w:b/>
                <w:sz w:val="18"/>
                <w:szCs w:val="18"/>
                <w:lang w:val="es-MX"/>
              </w:rPr>
              <w:t>519</w:t>
            </w: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p>
        </w:tc>
        <w:tc>
          <w:tcPr>
            <w:tcW w:w="4253" w:type="dxa"/>
            <w:gridSpan w:val="2"/>
          </w:tcPr>
          <w:p w:rsidR="00ED4DFB" w:rsidRDefault="00ED4DFB" w:rsidP="00747A44">
            <w:pPr>
              <w:rPr>
                <w:rFonts w:ascii="Tw Cen MT" w:hAnsi="Tw Cen MT"/>
                <w:b/>
                <w:sz w:val="20"/>
                <w:szCs w:val="16"/>
                <w:lang w:val="es-MX"/>
              </w:rPr>
            </w:pPr>
            <w:r>
              <w:rPr>
                <w:rFonts w:ascii="Tw Cen MT" w:hAnsi="Tw Cen MT"/>
                <w:b/>
                <w:sz w:val="20"/>
                <w:szCs w:val="16"/>
                <w:lang w:val="es-MX"/>
              </w:rPr>
              <w:t>Por la desincorporación de mobiliario y equipo de administración.</w:t>
            </w: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r>
              <w:rPr>
                <w:rFonts w:ascii="Tw Cen MT" w:hAnsi="Tw Cen MT"/>
                <w:b/>
                <w:sz w:val="20"/>
                <w:szCs w:val="16"/>
                <w:lang w:val="es-MX"/>
              </w:rPr>
              <w:t>Al cierre de libros por el saldo deudor de la cuenta.</w:t>
            </w: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r>
              <w:rPr>
                <w:rFonts w:ascii="Tw Cen MT" w:hAnsi="Tw Cen MT"/>
                <w:b/>
                <w:sz w:val="20"/>
                <w:szCs w:val="16"/>
                <w:lang w:val="es-MX"/>
              </w:rPr>
              <w:t>PARTIDAS COG RELACIONADAS</w:t>
            </w:r>
          </w:p>
          <w:p w:rsidR="00ED4DFB" w:rsidRDefault="00ED4DFB" w:rsidP="00747A44">
            <w:pPr>
              <w:rPr>
                <w:rFonts w:ascii="Tw Cen MT" w:hAnsi="Tw Cen MT"/>
                <w:b/>
                <w:sz w:val="18"/>
                <w:szCs w:val="18"/>
                <w:lang w:val="es-MX"/>
              </w:rPr>
            </w:pPr>
            <w:r>
              <w:rPr>
                <w:rFonts w:ascii="Tw Cen MT" w:hAnsi="Tw Cen MT"/>
                <w:b/>
                <w:sz w:val="18"/>
                <w:szCs w:val="18"/>
                <w:lang w:val="es-MX"/>
              </w:rPr>
              <w:t>Muebles de oficina y estantería</w:t>
            </w:r>
          </w:p>
          <w:p w:rsidR="00ED4DFB" w:rsidRDefault="00ED4DFB" w:rsidP="00747A44">
            <w:pPr>
              <w:rPr>
                <w:rFonts w:ascii="Tw Cen MT" w:hAnsi="Tw Cen MT"/>
                <w:b/>
                <w:sz w:val="18"/>
                <w:szCs w:val="18"/>
                <w:lang w:val="es-MX"/>
              </w:rPr>
            </w:pPr>
            <w:r>
              <w:rPr>
                <w:rFonts w:ascii="Tw Cen MT" w:hAnsi="Tw Cen MT"/>
                <w:b/>
                <w:sz w:val="18"/>
                <w:szCs w:val="18"/>
                <w:lang w:val="es-MX"/>
              </w:rPr>
              <w:t>Muebles, excepto de oficina y estantería</w:t>
            </w:r>
          </w:p>
          <w:p w:rsidR="00ED4DFB" w:rsidRDefault="00ED4DFB" w:rsidP="00747A44">
            <w:pPr>
              <w:rPr>
                <w:rFonts w:ascii="Tw Cen MT" w:hAnsi="Tw Cen MT"/>
                <w:b/>
                <w:sz w:val="18"/>
                <w:szCs w:val="18"/>
                <w:lang w:val="es-MX"/>
              </w:rPr>
            </w:pPr>
            <w:r>
              <w:rPr>
                <w:rFonts w:ascii="Tw Cen MT" w:hAnsi="Tw Cen MT"/>
                <w:b/>
                <w:sz w:val="18"/>
                <w:szCs w:val="18"/>
                <w:lang w:val="es-MX"/>
              </w:rPr>
              <w:t>Equipo de computo y de tecnologías de la información.</w:t>
            </w:r>
          </w:p>
          <w:p w:rsidR="00ED4DFB" w:rsidRPr="000569B9" w:rsidRDefault="00ED4DFB" w:rsidP="00747A44">
            <w:pPr>
              <w:rPr>
                <w:rFonts w:ascii="Tw Cen MT" w:hAnsi="Tw Cen MT"/>
                <w:b/>
                <w:sz w:val="18"/>
                <w:szCs w:val="18"/>
                <w:lang w:val="es-MX"/>
              </w:rPr>
            </w:pPr>
            <w:r>
              <w:rPr>
                <w:rFonts w:ascii="Tw Cen MT" w:hAnsi="Tw Cen MT"/>
                <w:b/>
                <w:sz w:val="18"/>
                <w:szCs w:val="18"/>
                <w:lang w:val="es-MX"/>
              </w:rPr>
              <w:t>Otros mobiliarios y equipos de administración.</w:t>
            </w: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Default="00ED4DFB" w:rsidP="00747A44">
            <w:pPr>
              <w:rPr>
                <w:rFonts w:ascii="Tw Cen MT" w:hAnsi="Tw Cen MT"/>
                <w:b/>
                <w:sz w:val="20"/>
                <w:szCs w:val="16"/>
                <w:lang w:val="es-MX"/>
              </w:rPr>
            </w:pPr>
          </w:p>
          <w:p w:rsidR="00ED4DFB" w:rsidRPr="00975ED0" w:rsidRDefault="00ED4DFB" w:rsidP="00747A44">
            <w:pPr>
              <w:rPr>
                <w:rFonts w:ascii="Tw Cen MT" w:hAnsi="Tw Cen MT"/>
                <w:b/>
                <w:sz w:val="20"/>
                <w:szCs w:val="16"/>
                <w:lang w:val="es-MX"/>
              </w:rPr>
            </w:pPr>
          </w:p>
        </w:tc>
      </w:tr>
      <w:tr w:rsidR="00ED4DFB" w:rsidRPr="00705957" w:rsidTr="00CA5FF6">
        <w:trPr>
          <w:trHeight w:val="701"/>
        </w:trPr>
        <w:tc>
          <w:tcPr>
            <w:tcW w:w="9537"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 xml:space="preserve">SU </w:t>
            </w:r>
            <w:r>
              <w:rPr>
                <w:rFonts w:ascii="Tw Cen MT" w:hAnsi="Tw Cen MT"/>
                <w:b/>
                <w:sz w:val="20"/>
                <w:szCs w:val="16"/>
                <w:lang w:val="es-MX"/>
              </w:rPr>
              <w:t>S</w:t>
            </w:r>
            <w:r w:rsidRPr="00705957">
              <w:rPr>
                <w:rFonts w:ascii="Tw Cen MT" w:hAnsi="Tw Cen MT"/>
                <w:b/>
                <w:sz w:val="20"/>
                <w:szCs w:val="16"/>
                <w:lang w:val="es-MX"/>
              </w:rPr>
              <w:t>ALDO REPRESENTA</w:t>
            </w:r>
          </w:p>
          <w:p w:rsidR="00ED4DFB" w:rsidRPr="00705957" w:rsidRDefault="00ED4DFB" w:rsidP="00747A44">
            <w:pPr>
              <w:rPr>
                <w:rFonts w:ascii="Tw Cen MT" w:hAnsi="Tw Cen MT"/>
                <w:b/>
                <w:sz w:val="20"/>
                <w:szCs w:val="16"/>
                <w:lang w:val="es-MX"/>
              </w:rPr>
            </w:pPr>
            <w:r>
              <w:rPr>
                <w:rFonts w:ascii="Tw Cen MT" w:hAnsi="Tw Cen MT"/>
                <w:b/>
                <w:sz w:val="20"/>
                <w:szCs w:val="16"/>
                <w:lang w:val="es-MX"/>
              </w:rPr>
              <w:t>El monto de toda clase de mobiliario y equipo de administración, bienes informáticos y equipo de cómputo. Así como también las refacciones mayores correspondientes a este concepto.</w:t>
            </w:r>
          </w:p>
        </w:tc>
      </w:tr>
      <w:tr w:rsidR="00ED4DFB" w:rsidRPr="00705957" w:rsidTr="00CA5FF6">
        <w:trPr>
          <w:trHeight w:val="1269"/>
        </w:trPr>
        <w:tc>
          <w:tcPr>
            <w:tcW w:w="9537"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OBSERVACIONES</w:t>
            </w:r>
          </w:p>
          <w:p w:rsidR="00ED4DFB" w:rsidRPr="00705957" w:rsidRDefault="00ED4DFB" w:rsidP="00747A44">
            <w:pPr>
              <w:rPr>
                <w:rFonts w:ascii="Tw Cen MT" w:hAnsi="Tw Cen MT"/>
                <w:b/>
                <w:sz w:val="20"/>
                <w:szCs w:val="16"/>
                <w:lang w:val="es-MX"/>
              </w:rPr>
            </w:pPr>
            <w:r>
              <w:rPr>
                <w:rFonts w:ascii="Tw Cen MT" w:hAnsi="Tw Cen MT"/>
                <w:b/>
                <w:sz w:val="20"/>
                <w:szCs w:val="16"/>
                <w:lang w:val="es-MX"/>
              </w:rPr>
              <w:t>Auxiliar por grupos homogéneos de bienes, de acuerdo al Clasificador por Objeto del Gasto, Concepto 5100 Mobiliario y Equipo de Administración.</w:t>
            </w:r>
          </w:p>
        </w:tc>
      </w:tr>
    </w:tbl>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tbl>
      <w:tblPr>
        <w:tblStyle w:val="Tablaconcuadrcula"/>
        <w:tblpPr w:leftFromText="180" w:rightFromText="180" w:vertAnchor="text" w:horzAnchor="margin" w:tblpY="378"/>
        <w:tblW w:w="9628" w:type="dxa"/>
        <w:tblLook w:val="04A0"/>
      </w:tblPr>
      <w:tblGrid>
        <w:gridCol w:w="736"/>
        <w:gridCol w:w="1037"/>
        <w:gridCol w:w="1668"/>
        <w:gridCol w:w="991"/>
        <w:gridCol w:w="830"/>
        <w:gridCol w:w="1966"/>
        <w:gridCol w:w="2400"/>
      </w:tblGrid>
      <w:tr w:rsidR="00ED4DFB" w:rsidRPr="00705957" w:rsidTr="00CA5FF6">
        <w:trPr>
          <w:trHeight w:val="632"/>
        </w:trPr>
        <w:tc>
          <w:tcPr>
            <w:tcW w:w="1773"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lastRenderedPageBreak/>
              <w:t>NUMERO</w:t>
            </w:r>
          </w:p>
        </w:tc>
        <w:tc>
          <w:tcPr>
            <w:tcW w:w="1668"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GENERO</w:t>
            </w:r>
          </w:p>
        </w:tc>
        <w:tc>
          <w:tcPr>
            <w:tcW w:w="1821" w:type="dxa"/>
            <w:gridSpan w:val="2"/>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GRUPO</w:t>
            </w:r>
          </w:p>
        </w:tc>
        <w:tc>
          <w:tcPr>
            <w:tcW w:w="1966"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RUBRO</w:t>
            </w:r>
          </w:p>
        </w:tc>
        <w:tc>
          <w:tcPr>
            <w:tcW w:w="2399" w:type="dxa"/>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NATURALEZA</w:t>
            </w:r>
          </w:p>
        </w:tc>
      </w:tr>
      <w:tr w:rsidR="00ED4DFB" w:rsidRPr="00705957" w:rsidTr="00CA5FF6">
        <w:trPr>
          <w:trHeight w:val="901"/>
        </w:trPr>
        <w:tc>
          <w:tcPr>
            <w:tcW w:w="1773"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2</w:t>
            </w:r>
            <w:r w:rsidRPr="00705957">
              <w:rPr>
                <w:rFonts w:ascii="Tw Cen MT" w:hAnsi="Tw Cen MT"/>
                <w:b/>
                <w:sz w:val="20"/>
                <w:szCs w:val="16"/>
                <w:lang w:val="es-MX"/>
              </w:rPr>
              <w:t>.</w:t>
            </w:r>
            <w:r>
              <w:rPr>
                <w:rFonts w:ascii="Tw Cen MT" w:hAnsi="Tw Cen MT"/>
                <w:b/>
                <w:sz w:val="20"/>
                <w:szCs w:val="16"/>
                <w:lang w:val="es-MX"/>
              </w:rPr>
              <w:t>1.1</w:t>
            </w:r>
            <w:r w:rsidRPr="00705957">
              <w:rPr>
                <w:rFonts w:ascii="Tw Cen MT" w:hAnsi="Tw Cen MT"/>
                <w:b/>
                <w:sz w:val="20"/>
                <w:szCs w:val="16"/>
                <w:lang w:val="es-MX"/>
              </w:rPr>
              <w:t>.</w:t>
            </w:r>
            <w:r>
              <w:rPr>
                <w:rFonts w:ascii="Tw Cen MT" w:hAnsi="Tw Cen MT"/>
                <w:b/>
                <w:sz w:val="20"/>
                <w:szCs w:val="16"/>
                <w:lang w:val="es-MX"/>
              </w:rPr>
              <w:t>7</w:t>
            </w:r>
          </w:p>
        </w:tc>
        <w:tc>
          <w:tcPr>
            <w:tcW w:w="1668"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Pasivo</w:t>
            </w:r>
          </w:p>
        </w:tc>
        <w:tc>
          <w:tcPr>
            <w:tcW w:w="1821" w:type="dxa"/>
            <w:gridSpan w:val="2"/>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Pasivo</w:t>
            </w:r>
            <w:r w:rsidRPr="00705957">
              <w:rPr>
                <w:rFonts w:ascii="Tw Cen MT" w:hAnsi="Tw Cen MT"/>
                <w:b/>
                <w:sz w:val="20"/>
                <w:szCs w:val="16"/>
                <w:lang w:val="es-MX"/>
              </w:rPr>
              <w:t xml:space="preserve"> </w:t>
            </w:r>
            <w:r>
              <w:rPr>
                <w:rFonts w:ascii="Tw Cen MT" w:hAnsi="Tw Cen MT"/>
                <w:b/>
                <w:sz w:val="20"/>
                <w:szCs w:val="16"/>
                <w:lang w:val="es-MX"/>
              </w:rPr>
              <w:t>C</w:t>
            </w:r>
            <w:r w:rsidRPr="00705957">
              <w:rPr>
                <w:rFonts w:ascii="Tw Cen MT" w:hAnsi="Tw Cen MT"/>
                <w:b/>
                <w:sz w:val="20"/>
                <w:szCs w:val="16"/>
                <w:lang w:val="es-MX"/>
              </w:rPr>
              <w:t>irculante</w:t>
            </w:r>
          </w:p>
        </w:tc>
        <w:tc>
          <w:tcPr>
            <w:tcW w:w="1966"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Cuentas por Pagar a Corto Plazo</w:t>
            </w:r>
          </w:p>
        </w:tc>
        <w:tc>
          <w:tcPr>
            <w:tcW w:w="2399" w:type="dxa"/>
            <w:tcBorders>
              <w:bottom w:val="single" w:sz="4" w:space="0" w:color="auto"/>
            </w:tcBorders>
            <w:vAlign w:val="center"/>
          </w:tcPr>
          <w:p w:rsidR="00ED4DFB" w:rsidRPr="00705957" w:rsidRDefault="00ED4DFB" w:rsidP="00747A44">
            <w:pPr>
              <w:jc w:val="center"/>
              <w:rPr>
                <w:rFonts w:ascii="Tw Cen MT" w:hAnsi="Tw Cen MT"/>
                <w:b/>
                <w:sz w:val="20"/>
                <w:szCs w:val="16"/>
                <w:lang w:val="es-MX"/>
              </w:rPr>
            </w:pPr>
            <w:r>
              <w:rPr>
                <w:rFonts w:ascii="Tw Cen MT" w:hAnsi="Tw Cen MT"/>
                <w:b/>
                <w:sz w:val="20"/>
                <w:szCs w:val="16"/>
                <w:lang w:val="es-MX"/>
              </w:rPr>
              <w:t>Acreedora</w:t>
            </w:r>
          </w:p>
        </w:tc>
      </w:tr>
      <w:tr w:rsidR="00ED4DFB" w:rsidRPr="00B036E5" w:rsidTr="00CA5FF6">
        <w:trPr>
          <w:trHeight w:val="632"/>
        </w:trPr>
        <w:tc>
          <w:tcPr>
            <w:tcW w:w="1773" w:type="dxa"/>
            <w:gridSpan w:val="2"/>
            <w:tcBorders>
              <w:bottom w:val="single" w:sz="4" w:space="0" w:color="auto"/>
            </w:tcBorders>
            <w:vAlign w:val="center"/>
          </w:tcPr>
          <w:p w:rsidR="00ED4DFB" w:rsidRPr="00705957" w:rsidRDefault="00ED4DFB" w:rsidP="00747A44">
            <w:pPr>
              <w:rPr>
                <w:rFonts w:ascii="Tw Cen MT" w:hAnsi="Tw Cen MT"/>
                <w:b/>
                <w:sz w:val="20"/>
                <w:szCs w:val="16"/>
                <w:lang w:val="es-MX"/>
              </w:rPr>
            </w:pPr>
          </w:p>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CUENTA</w:t>
            </w:r>
          </w:p>
        </w:tc>
        <w:tc>
          <w:tcPr>
            <w:tcW w:w="7855" w:type="dxa"/>
            <w:gridSpan w:val="5"/>
            <w:tcBorders>
              <w:bottom w:val="single" w:sz="4" w:space="0" w:color="auto"/>
            </w:tcBorders>
            <w:vAlign w:val="center"/>
          </w:tcPr>
          <w:p w:rsidR="00ED4DFB" w:rsidRPr="00B036E5" w:rsidRDefault="00ED4DFB" w:rsidP="00747A44">
            <w:pPr>
              <w:rPr>
                <w:rFonts w:ascii="Tw Cen MT" w:hAnsi="Tw Cen MT" w:cs="Segoe UI"/>
                <w:b/>
                <w:sz w:val="20"/>
                <w:szCs w:val="16"/>
                <w:lang w:val="es-MX"/>
              </w:rPr>
            </w:pPr>
            <w:r>
              <w:rPr>
                <w:rFonts w:ascii="Tw Cen MT" w:hAnsi="Tw Cen MT" w:cs="Segoe UI"/>
                <w:b/>
                <w:sz w:val="20"/>
                <w:szCs w:val="16"/>
                <w:lang w:val="es-MX"/>
              </w:rPr>
              <w:t>Retenciones y Contribuciones por Pagar a Corto Plazo.</w:t>
            </w:r>
          </w:p>
        </w:tc>
      </w:tr>
      <w:tr w:rsidR="00ED4DFB" w:rsidRPr="00705957" w:rsidTr="00CA5FF6">
        <w:trPr>
          <w:trHeight w:val="392"/>
        </w:trPr>
        <w:tc>
          <w:tcPr>
            <w:tcW w:w="9627" w:type="dxa"/>
            <w:gridSpan w:val="7"/>
            <w:tcBorders>
              <w:top w:val="single" w:sz="4" w:space="0" w:color="auto"/>
              <w:left w:val="nil"/>
              <w:bottom w:val="single" w:sz="4" w:space="0" w:color="auto"/>
              <w:right w:val="nil"/>
            </w:tcBorders>
            <w:vAlign w:val="center"/>
          </w:tcPr>
          <w:p w:rsidR="00ED4DFB" w:rsidRPr="00705957" w:rsidRDefault="00ED4DFB" w:rsidP="00747A44">
            <w:pPr>
              <w:jc w:val="center"/>
              <w:rPr>
                <w:rFonts w:ascii="Tw Cen MT" w:hAnsi="Tw Cen MT"/>
                <w:b/>
                <w:sz w:val="16"/>
                <w:szCs w:val="16"/>
                <w:lang w:val="es-MX"/>
              </w:rPr>
            </w:pPr>
          </w:p>
        </w:tc>
      </w:tr>
      <w:tr w:rsidR="00ED4DFB" w:rsidRPr="00705957" w:rsidTr="00CA5FF6">
        <w:trPr>
          <w:trHeight w:val="632"/>
        </w:trPr>
        <w:tc>
          <w:tcPr>
            <w:tcW w:w="736" w:type="dxa"/>
            <w:tcBorders>
              <w:top w:val="single" w:sz="4" w:space="0" w:color="auto"/>
            </w:tcBorders>
            <w:vAlign w:val="center"/>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 xml:space="preserve">   No.</w:t>
            </w:r>
          </w:p>
        </w:tc>
        <w:tc>
          <w:tcPr>
            <w:tcW w:w="3696" w:type="dxa"/>
            <w:gridSpan w:val="3"/>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CARGO</w:t>
            </w:r>
          </w:p>
        </w:tc>
        <w:tc>
          <w:tcPr>
            <w:tcW w:w="830" w:type="dxa"/>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No.</w:t>
            </w:r>
          </w:p>
        </w:tc>
        <w:tc>
          <w:tcPr>
            <w:tcW w:w="4366" w:type="dxa"/>
            <w:gridSpan w:val="2"/>
            <w:tcBorders>
              <w:top w:val="single" w:sz="4" w:space="0" w:color="auto"/>
            </w:tcBorders>
            <w:vAlign w:val="center"/>
          </w:tcPr>
          <w:p w:rsidR="00ED4DFB" w:rsidRPr="00705957" w:rsidRDefault="00ED4DFB" w:rsidP="00747A44">
            <w:pPr>
              <w:jc w:val="center"/>
              <w:rPr>
                <w:rFonts w:ascii="Tw Cen MT" w:hAnsi="Tw Cen MT"/>
                <w:b/>
                <w:sz w:val="20"/>
                <w:szCs w:val="16"/>
                <w:lang w:val="es-MX"/>
              </w:rPr>
            </w:pPr>
            <w:r w:rsidRPr="00705957">
              <w:rPr>
                <w:rFonts w:ascii="Tw Cen MT" w:hAnsi="Tw Cen MT"/>
                <w:b/>
                <w:sz w:val="20"/>
                <w:szCs w:val="16"/>
                <w:lang w:val="es-MX"/>
              </w:rPr>
              <w:t>ABONO</w:t>
            </w:r>
          </w:p>
        </w:tc>
      </w:tr>
      <w:tr w:rsidR="00ED4DFB" w:rsidRPr="00F6581B" w:rsidTr="00CA5FF6">
        <w:trPr>
          <w:trHeight w:val="6362"/>
        </w:trPr>
        <w:tc>
          <w:tcPr>
            <w:tcW w:w="736" w:type="dxa"/>
          </w:tcPr>
          <w:p w:rsidR="00ED4DFB" w:rsidRDefault="00ED4DFB" w:rsidP="00747A44">
            <w:pPr>
              <w:jc w:val="center"/>
              <w:rPr>
                <w:rFonts w:ascii="Tw Cen MT" w:hAnsi="Tw Cen MT"/>
                <w:b/>
                <w:sz w:val="20"/>
                <w:szCs w:val="16"/>
                <w:lang w:val="es-MX"/>
              </w:rPr>
            </w:pPr>
            <w:r>
              <w:rPr>
                <w:rFonts w:ascii="Tw Cen MT" w:hAnsi="Tw Cen MT"/>
                <w:b/>
                <w:sz w:val="20"/>
                <w:szCs w:val="16"/>
                <w:lang w:val="es-MX"/>
              </w:rPr>
              <w:t>1</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2</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3</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4</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5</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6</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18"/>
                <w:szCs w:val="18"/>
                <w:lang w:val="es-MX"/>
              </w:rPr>
            </w:pPr>
          </w:p>
          <w:p w:rsidR="00ED4DFB" w:rsidRDefault="00ED4DFB" w:rsidP="00747A44">
            <w:pPr>
              <w:jc w:val="center"/>
              <w:rPr>
                <w:rFonts w:ascii="Tw Cen MT" w:hAnsi="Tw Cen MT"/>
                <w:b/>
                <w:sz w:val="18"/>
                <w:szCs w:val="18"/>
                <w:lang w:val="es-MX"/>
              </w:rPr>
            </w:pPr>
            <w:r>
              <w:rPr>
                <w:rFonts w:ascii="Tw Cen MT" w:hAnsi="Tw Cen MT"/>
                <w:b/>
                <w:sz w:val="18"/>
                <w:szCs w:val="18"/>
                <w:lang w:val="es-MX"/>
              </w:rPr>
              <w:t>7</w:t>
            </w:r>
          </w:p>
          <w:p w:rsidR="00ED4DFB" w:rsidRDefault="00ED4DFB" w:rsidP="00747A44">
            <w:pPr>
              <w:jc w:val="center"/>
              <w:rPr>
                <w:rFonts w:ascii="Tw Cen MT" w:hAnsi="Tw Cen MT"/>
                <w:b/>
                <w:sz w:val="18"/>
                <w:szCs w:val="18"/>
                <w:lang w:val="es-MX"/>
              </w:rPr>
            </w:pPr>
          </w:p>
          <w:p w:rsidR="00ED4DFB" w:rsidRDefault="00ED4DFB" w:rsidP="00747A44">
            <w:pPr>
              <w:jc w:val="center"/>
              <w:rPr>
                <w:rFonts w:ascii="Tw Cen MT" w:hAnsi="Tw Cen MT"/>
                <w:b/>
                <w:sz w:val="18"/>
                <w:szCs w:val="18"/>
                <w:lang w:val="es-MX"/>
              </w:rPr>
            </w:pPr>
          </w:p>
          <w:p w:rsidR="00ED4DFB" w:rsidRPr="00C55325" w:rsidRDefault="00ED4DFB" w:rsidP="00747A44">
            <w:pPr>
              <w:jc w:val="center"/>
              <w:rPr>
                <w:rFonts w:ascii="Tw Cen MT" w:hAnsi="Tw Cen MT"/>
                <w:b/>
                <w:sz w:val="20"/>
                <w:szCs w:val="20"/>
                <w:lang w:val="es-MX"/>
              </w:rPr>
            </w:pPr>
            <w:r>
              <w:rPr>
                <w:rFonts w:ascii="Tw Cen MT" w:hAnsi="Tw Cen MT"/>
                <w:b/>
                <w:sz w:val="20"/>
                <w:szCs w:val="20"/>
                <w:lang w:val="es-MX"/>
              </w:rPr>
              <w:t>8</w:t>
            </w:r>
          </w:p>
          <w:p w:rsidR="00ED4DFB" w:rsidRDefault="00ED4DFB" w:rsidP="00747A44">
            <w:pPr>
              <w:jc w:val="center"/>
              <w:rPr>
                <w:rFonts w:ascii="Tw Cen MT" w:hAnsi="Tw Cen MT"/>
                <w:b/>
                <w:sz w:val="18"/>
                <w:szCs w:val="18"/>
                <w:lang w:val="es-MX"/>
              </w:rPr>
            </w:pPr>
          </w:p>
          <w:p w:rsidR="00ED4DFB" w:rsidRDefault="00ED4DFB" w:rsidP="00747A44">
            <w:pPr>
              <w:jc w:val="center"/>
              <w:rPr>
                <w:rFonts w:ascii="Tw Cen MT" w:hAnsi="Tw Cen MT"/>
                <w:b/>
                <w:sz w:val="18"/>
                <w:szCs w:val="18"/>
                <w:lang w:val="es-MX"/>
              </w:rPr>
            </w:pPr>
          </w:p>
          <w:p w:rsidR="00ED4DFB" w:rsidRDefault="00ED4DFB" w:rsidP="00747A44">
            <w:pPr>
              <w:jc w:val="center"/>
              <w:rPr>
                <w:rFonts w:ascii="Tw Cen MT" w:hAnsi="Tw Cen MT"/>
                <w:b/>
                <w:sz w:val="18"/>
                <w:szCs w:val="18"/>
                <w:lang w:val="es-MX"/>
              </w:rPr>
            </w:pPr>
          </w:p>
          <w:p w:rsidR="00ED4DFB" w:rsidRPr="00B068FF" w:rsidRDefault="00ED4DFB" w:rsidP="00747A44">
            <w:pPr>
              <w:jc w:val="center"/>
              <w:rPr>
                <w:rFonts w:ascii="Tw Cen MT" w:hAnsi="Tw Cen MT"/>
                <w:b/>
                <w:sz w:val="20"/>
                <w:szCs w:val="16"/>
                <w:lang w:val="es-MX"/>
              </w:rPr>
            </w:pPr>
          </w:p>
        </w:tc>
        <w:tc>
          <w:tcPr>
            <w:tcW w:w="3696" w:type="dxa"/>
            <w:gridSpan w:val="3"/>
          </w:tcPr>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las retenciones a terceros.</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retenciones obrero/patronales.</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 xml:space="preserve">Por el pago de las retenciones de obras </w:t>
            </w:r>
            <w:r w:rsidR="00211A6E">
              <w:rPr>
                <w:rFonts w:ascii="Tw Cen MT" w:hAnsi="Tw Cen MT" w:cs="Calibri"/>
                <w:b/>
                <w:sz w:val="20"/>
                <w:szCs w:val="20"/>
                <w:lang w:val="es-MX"/>
              </w:rPr>
              <w:t>públicas</w:t>
            </w:r>
            <w:r>
              <w:rPr>
                <w:rFonts w:ascii="Tw Cen MT" w:hAnsi="Tw Cen MT" w:cs="Calibri"/>
                <w:b/>
                <w:sz w:val="20"/>
                <w:szCs w:val="20"/>
                <w:lang w:val="es-MX"/>
              </w:rPr>
              <w:t xml:space="preserve"> en bienes de dominio público y propio.</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retenciones de estudios, formulación y evaluación de proyectos en obras publicas en bienes de dominio público y propio.</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impuestos y derechos.</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impuestos y derechos de importación.</w:t>
            </w:r>
          </w:p>
          <w:p w:rsidR="00ED4DFB" w:rsidRDefault="00ED4DFB" w:rsidP="00747A44">
            <w:pPr>
              <w:rPr>
                <w:rFonts w:ascii="Tw Cen MT" w:hAnsi="Tw Cen MT" w:cs="Calibri"/>
                <w:b/>
                <w:sz w:val="20"/>
                <w:szCs w:val="20"/>
                <w:lang w:val="es-MX"/>
              </w:rPr>
            </w:pPr>
          </w:p>
          <w:p w:rsidR="00ED4DFB" w:rsidRDefault="00ED4DFB" w:rsidP="00747A44">
            <w:pPr>
              <w:rPr>
                <w:rFonts w:ascii="Tw Cen MT" w:hAnsi="Tw Cen MT" w:cs="Calibri"/>
                <w:b/>
                <w:sz w:val="20"/>
                <w:szCs w:val="20"/>
                <w:lang w:val="es-MX"/>
              </w:rPr>
            </w:pPr>
            <w:r>
              <w:rPr>
                <w:rFonts w:ascii="Tw Cen MT" w:hAnsi="Tw Cen MT" w:cs="Calibri"/>
                <w:b/>
                <w:sz w:val="20"/>
                <w:szCs w:val="20"/>
                <w:lang w:val="es-MX"/>
              </w:rPr>
              <w:t>Por el pago de otras retenciones y contribuciones.</w:t>
            </w:r>
          </w:p>
          <w:p w:rsidR="00ED4DFB" w:rsidRDefault="00ED4DFB" w:rsidP="00747A44">
            <w:pPr>
              <w:rPr>
                <w:rFonts w:ascii="Tw Cen MT" w:hAnsi="Tw Cen MT" w:cs="Calibri"/>
                <w:b/>
                <w:sz w:val="20"/>
                <w:szCs w:val="20"/>
                <w:lang w:val="es-MX"/>
              </w:rPr>
            </w:pPr>
          </w:p>
          <w:p w:rsidR="00ED4DFB" w:rsidRPr="0029379B" w:rsidRDefault="00ED4DFB" w:rsidP="00747A44">
            <w:pPr>
              <w:rPr>
                <w:rFonts w:ascii="Tw Cen MT" w:hAnsi="Tw Cen MT" w:cs="Calibri"/>
                <w:b/>
                <w:sz w:val="20"/>
                <w:szCs w:val="20"/>
                <w:lang w:val="es-MX"/>
              </w:rPr>
            </w:pPr>
            <w:r>
              <w:rPr>
                <w:rFonts w:ascii="Tw Cen MT" w:hAnsi="Tw Cen MT" w:cs="Calibri"/>
                <w:b/>
                <w:sz w:val="20"/>
                <w:szCs w:val="20"/>
                <w:lang w:val="es-MX"/>
              </w:rPr>
              <w:t>Al cierre del ejercicio del saldo acreedor de esta cuenta.</w:t>
            </w:r>
          </w:p>
          <w:p w:rsidR="00ED4DFB" w:rsidRPr="0029379B" w:rsidRDefault="00ED4DFB" w:rsidP="00747A44">
            <w:pPr>
              <w:rPr>
                <w:rFonts w:ascii="Tw Cen MT" w:hAnsi="Tw Cen MT" w:cs="Calibri"/>
                <w:b/>
                <w:sz w:val="20"/>
                <w:szCs w:val="20"/>
                <w:lang w:val="es-MX"/>
              </w:rPr>
            </w:pPr>
          </w:p>
        </w:tc>
        <w:tc>
          <w:tcPr>
            <w:tcW w:w="830" w:type="dxa"/>
          </w:tcPr>
          <w:p w:rsidR="00ED4DFB" w:rsidRDefault="00ED4DFB" w:rsidP="00747A44">
            <w:pPr>
              <w:jc w:val="center"/>
              <w:rPr>
                <w:rFonts w:ascii="Tw Cen MT" w:hAnsi="Tw Cen MT"/>
                <w:b/>
                <w:sz w:val="20"/>
                <w:szCs w:val="16"/>
                <w:lang w:val="es-MX"/>
              </w:rPr>
            </w:pPr>
            <w:r>
              <w:rPr>
                <w:rFonts w:ascii="Tw Cen MT" w:hAnsi="Tw Cen MT"/>
                <w:b/>
                <w:sz w:val="20"/>
                <w:szCs w:val="16"/>
                <w:lang w:val="es-MX"/>
              </w:rPr>
              <w:t>1</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2</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3</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4</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r>
              <w:rPr>
                <w:rFonts w:ascii="Tw Cen MT" w:hAnsi="Tw Cen MT"/>
                <w:b/>
                <w:sz w:val="20"/>
                <w:szCs w:val="16"/>
                <w:lang w:val="es-MX"/>
              </w:rPr>
              <w:t>5</w:t>
            </w:r>
          </w:p>
          <w:p w:rsidR="00ED4DFB" w:rsidRDefault="00ED4DFB" w:rsidP="00747A44">
            <w:pPr>
              <w:jc w:val="center"/>
              <w:rPr>
                <w:rFonts w:ascii="Tw Cen MT" w:hAnsi="Tw Cen MT"/>
                <w:b/>
                <w:sz w:val="20"/>
                <w:szCs w:val="16"/>
                <w:lang w:val="es-MX"/>
              </w:rPr>
            </w:pPr>
          </w:p>
          <w:p w:rsidR="00ED4DFB" w:rsidRDefault="00ED4DFB" w:rsidP="00747A44">
            <w:pPr>
              <w:jc w:val="center"/>
              <w:rPr>
                <w:rFonts w:ascii="Tw Cen MT" w:hAnsi="Tw Cen MT"/>
                <w:b/>
                <w:sz w:val="20"/>
                <w:szCs w:val="16"/>
                <w:lang w:val="es-MX"/>
              </w:rPr>
            </w:pPr>
          </w:p>
          <w:p w:rsidR="00ED4DFB" w:rsidRPr="00F6581B" w:rsidRDefault="00ED4DFB" w:rsidP="00747A44">
            <w:pPr>
              <w:jc w:val="center"/>
              <w:rPr>
                <w:rFonts w:ascii="Tw Cen MT" w:hAnsi="Tw Cen MT"/>
                <w:b/>
                <w:sz w:val="20"/>
                <w:szCs w:val="20"/>
                <w:lang w:val="es-MX"/>
              </w:rPr>
            </w:pPr>
          </w:p>
          <w:p w:rsidR="00ED4DFB" w:rsidRPr="00C55325" w:rsidRDefault="00ED4DFB" w:rsidP="00747A44">
            <w:pPr>
              <w:jc w:val="center"/>
              <w:rPr>
                <w:rFonts w:ascii="Tw Cen MT" w:hAnsi="Tw Cen MT"/>
                <w:b/>
                <w:sz w:val="20"/>
                <w:szCs w:val="20"/>
                <w:lang w:val="es-MX"/>
              </w:rPr>
            </w:pPr>
            <w:r>
              <w:rPr>
                <w:rFonts w:ascii="Tw Cen MT" w:hAnsi="Tw Cen MT"/>
                <w:b/>
                <w:sz w:val="20"/>
                <w:szCs w:val="20"/>
                <w:lang w:val="es-MX"/>
              </w:rPr>
              <w:t>6</w:t>
            </w: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Pr="00C55325" w:rsidRDefault="00ED4DFB" w:rsidP="00747A44">
            <w:pPr>
              <w:jc w:val="center"/>
              <w:rPr>
                <w:rFonts w:ascii="Tw Cen MT" w:hAnsi="Tw Cen MT"/>
                <w:b/>
                <w:sz w:val="20"/>
                <w:szCs w:val="20"/>
                <w:lang w:val="es-MX"/>
              </w:rPr>
            </w:pPr>
            <w:r>
              <w:rPr>
                <w:rFonts w:ascii="Tw Cen MT" w:hAnsi="Tw Cen MT"/>
                <w:b/>
                <w:sz w:val="20"/>
                <w:szCs w:val="20"/>
                <w:lang w:val="es-MX"/>
              </w:rPr>
              <w:t>7</w:t>
            </w: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Pr="00C55325" w:rsidRDefault="00ED4DFB" w:rsidP="00747A44">
            <w:pPr>
              <w:jc w:val="center"/>
              <w:rPr>
                <w:rFonts w:ascii="Tw Cen MT" w:hAnsi="Tw Cen MT"/>
                <w:b/>
                <w:sz w:val="20"/>
                <w:szCs w:val="20"/>
                <w:lang w:val="es-MX"/>
              </w:rPr>
            </w:pPr>
            <w:r>
              <w:rPr>
                <w:rFonts w:ascii="Tw Cen MT" w:hAnsi="Tw Cen MT"/>
                <w:b/>
                <w:sz w:val="20"/>
                <w:szCs w:val="20"/>
                <w:lang w:val="es-MX"/>
              </w:rPr>
              <w:t>8</w:t>
            </w: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6"/>
                <w:szCs w:val="16"/>
                <w:lang w:val="es-MX"/>
              </w:rPr>
            </w:pPr>
          </w:p>
          <w:p w:rsidR="00ED4DFB" w:rsidRDefault="00ED4DFB" w:rsidP="00747A44">
            <w:pPr>
              <w:jc w:val="center"/>
              <w:rPr>
                <w:rFonts w:ascii="Tw Cen MT" w:hAnsi="Tw Cen MT"/>
                <w:b/>
                <w:sz w:val="18"/>
                <w:szCs w:val="18"/>
                <w:lang w:val="es-MX"/>
              </w:rPr>
            </w:pPr>
          </w:p>
          <w:p w:rsidR="00ED4DFB" w:rsidRPr="00047EE8" w:rsidRDefault="00ED4DFB" w:rsidP="00747A44">
            <w:pPr>
              <w:rPr>
                <w:rFonts w:ascii="Tw Cen MT" w:hAnsi="Tw Cen MT"/>
                <w:b/>
                <w:sz w:val="18"/>
                <w:szCs w:val="18"/>
                <w:lang w:val="es-MX"/>
              </w:rPr>
            </w:pPr>
          </w:p>
        </w:tc>
        <w:tc>
          <w:tcPr>
            <w:tcW w:w="4366" w:type="dxa"/>
            <w:gridSpan w:val="2"/>
          </w:tcPr>
          <w:p w:rsidR="00ED4DFB" w:rsidRDefault="00ED4DFB" w:rsidP="00747A44">
            <w:pPr>
              <w:rPr>
                <w:rFonts w:ascii="Tw Cen MT" w:hAnsi="Tw Cen MT"/>
                <w:b/>
                <w:sz w:val="20"/>
                <w:szCs w:val="20"/>
                <w:lang w:val="es-MX"/>
              </w:rPr>
            </w:pPr>
            <w:r>
              <w:rPr>
                <w:rFonts w:ascii="Tw Cen MT" w:hAnsi="Tw Cen MT"/>
                <w:b/>
                <w:sz w:val="20"/>
                <w:szCs w:val="20"/>
                <w:lang w:val="es-MX"/>
              </w:rPr>
              <w:t>A la apertura de libros por el saldo del ejercicio inmediato anterior.</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Por las retenciones devengadas de las retenciones a terceros.</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Por las retenciones de cuotas obrero/patronales.</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Por las retenciones por obras publicas en bienes de dominio público y propio.</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Por las retenciones por estudios, formulación y evaluación de proyectos en obras publicas en bienes de dominio público y propio.</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Por el devengado de impuestos y derechos.</w:t>
            </w:r>
          </w:p>
          <w:p w:rsidR="00ED4DFB" w:rsidRDefault="00ED4DFB" w:rsidP="00747A44">
            <w:pPr>
              <w:rPr>
                <w:rFonts w:ascii="Tw Cen MT" w:hAnsi="Tw Cen MT"/>
                <w:b/>
                <w:sz w:val="20"/>
                <w:szCs w:val="20"/>
                <w:lang w:val="es-MX"/>
              </w:rPr>
            </w:pPr>
          </w:p>
          <w:p w:rsidR="00ED4DFB" w:rsidRDefault="00ED4DFB" w:rsidP="00747A44">
            <w:pPr>
              <w:rPr>
                <w:rFonts w:ascii="Tw Cen MT" w:hAnsi="Tw Cen MT"/>
                <w:b/>
                <w:sz w:val="20"/>
                <w:szCs w:val="20"/>
                <w:lang w:val="es-MX"/>
              </w:rPr>
            </w:pPr>
            <w:r>
              <w:rPr>
                <w:rFonts w:ascii="Tw Cen MT" w:hAnsi="Tw Cen MT"/>
                <w:b/>
                <w:sz w:val="20"/>
                <w:szCs w:val="20"/>
                <w:lang w:val="es-MX"/>
              </w:rPr>
              <w:t xml:space="preserve">Por el devengado de impuestos y derechos de importación. </w:t>
            </w:r>
          </w:p>
          <w:p w:rsidR="00ED4DFB" w:rsidRDefault="00ED4DFB" w:rsidP="00747A44">
            <w:pPr>
              <w:rPr>
                <w:rFonts w:ascii="Tw Cen MT" w:hAnsi="Tw Cen MT"/>
                <w:b/>
                <w:sz w:val="20"/>
                <w:szCs w:val="20"/>
                <w:lang w:val="es-MX"/>
              </w:rPr>
            </w:pPr>
          </w:p>
          <w:p w:rsidR="00ED4DFB" w:rsidRPr="00F6581B" w:rsidRDefault="00ED4DFB" w:rsidP="00747A44">
            <w:pPr>
              <w:rPr>
                <w:rFonts w:ascii="Tw Cen MT" w:hAnsi="Tw Cen MT"/>
                <w:b/>
                <w:sz w:val="20"/>
                <w:szCs w:val="20"/>
                <w:lang w:val="es-MX"/>
              </w:rPr>
            </w:pPr>
            <w:r>
              <w:rPr>
                <w:rFonts w:ascii="Tw Cen MT" w:hAnsi="Tw Cen MT"/>
                <w:b/>
                <w:sz w:val="20"/>
                <w:szCs w:val="20"/>
                <w:lang w:val="es-MX"/>
              </w:rPr>
              <w:t>Por el devengado de otras retenciones y contribuciones.</w:t>
            </w:r>
          </w:p>
        </w:tc>
      </w:tr>
      <w:tr w:rsidR="00ED4DFB" w:rsidRPr="00705957" w:rsidTr="00CA5FF6">
        <w:trPr>
          <w:trHeight w:val="726"/>
        </w:trPr>
        <w:tc>
          <w:tcPr>
            <w:tcW w:w="9627"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 xml:space="preserve">SU </w:t>
            </w:r>
            <w:r>
              <w:rPr>
                <w:rFonts w:ascii="Tw Cen MT" w:hAnsi="Tw Cen MT"/>
                <w:b/>
                <w:sz w:val="20"/>
                <w:szCs w:val="16"/>
                <w:lang w:val="es-MX"/>
              </w:rPr>
              <w:t>S</w:t>
            </w:r>
            <w:r w:rsidRPr="00705957">
              <w:rPr>
                <w:rFonts w:ascii="Tw Cen MT" w:hAnsi="Tw Cen MT"/>
                <w:b/>
                <w:sz w:val="20"/>
                <w:szCs w:val="16"/>
                <w:lang w:val="es-MX"/>
              </w:rPr>
              <w:t>ALDO REPRESENTA</w:t>
            </w:r>
          </w:p>
          <w:p w:rsidR="00ED4DFB" w:rsidRPr="00705957" w:rsidRDefault="00ED4DFB" w:rsidP="00747A44">
            <w:pPr>
              <w:rPr>
                <w:rFonts w:ascii="Tw Cen MT" w:hAnsi="Tw Cen MT"/>
                <w:b/>
                <w:sz w:val="20"/>
                <w:szCs w:val="16"/>
                <w:lang w:val="es-MX"/>
              </w:rPr>
            </w:pPr>
            <w:r>
              <w:rPr>
                <w:rFonts w:ascii="Tw Cen MT" w:hAnsi="Tw Cen MT"/>
                <w:b/>
                <w:sz w:val="20"/>
                <w:szCs w:val="16"/>
                <w:lang w:val="es-MX"/>
              </w:rPr>
              <w:t>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w:t>
            </w:r>
          </w:p>
        </w:tc>
      </w:tr>
      <w:tr w:rsidR="00ED4DFB" w:rsidRPr="00705957" w:rsidTr="00CA5FF6">
        <w:trPr>
          <w:trHeight w:val="527"/>
        </w:trPr>
        <w:tc>
          <w:tcPr>
            <w:tcW w:w="9627" w:type="dxa"/>
            <w:gridSpan w:val="7"/>
          </w:tcPr>
          <w:p w:rsidR="00ED4DFB" w:rsidRPr="00705957" w:rsidRDefault="00ED4DFB" w:rsidP="00747A44">
            <w:pPr>
              <w:rPr>
                <w:rFonts w:ascii="Tw Cen MT" w:hAnsi="Tw Cen MT"/>
                <w:b/>
                <w:sz w:val="20"/>
                <w:szCs w:val="16"/>
                <w:lang w:val="es-MX"/>
              </w:rPr>
            </w:pPr>
            <w:r w:rsidRPr="00705957">
              <w:rPr>
                <w:rFonts w:ascii="Tw Cen MT" w:hAnsi="Tw Cen MT"/>
                <w:b/>
                <w:sz w:val="20"/>
                <w:szCs w:val="16"/>
                <w:lang w:val="es-MX"/>
              </w:rPr>
              <w:t>OBSERVACIONES</w:t>
            </w:r>
          </w:p>
          <w:p w:rsidR="00ED4DFB" w:rsidRPr="00705957" w:rsidRDefault="00ED4DFB" w:rsidP="00747A44">
            <w:pPr>
              <w:rPr>
                <w:rFonts w:ascii="Tw Cen MT" w:hAnsi="Tw Cen MT"/>
                <w:b/>
                <w:sz w:val="20"/>
                <w:szCs w:val="16"/>
                <w:lang w:val="es-MX"/>
              </w:rPr>
            </w:pPr>
            <w:r>
              <w:rPr>
                <w:rFonts w:ascii="Tw Cen MT" w:hAnsi="Tw Cen MT"/>
                <w:b/>
                <w:sz w:val="20"/>
                <w:szCs w:val="16"/>
                <w:lang w:val="es-MX"/>
              </w:rPr>
              <w:t>Auxiliar por tipo de contribución.</w:t>
            </w:r>
          </w:p>
        </w:tc>
      </w:tr>
    </w:tbl>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p w:rsidR="00ED4DFB" w:rsidRDefault="00ED4DFB" w:rsidP="00773BDE">
      <w:pPr>
        <w:jc w:val="both"/>
        <w:rPr>
          <w:rFonts w:ascii="Arial Narrow" w:hAnsi="Arial Narrow" w:cs="Arial"/>
          <w:sz w:val="28"/>
          <w:szCs w:val="28"/>
          <w:lang w:val="es-MX" w:eastAsia="es-MX"/>
        </w:rPr>
      </w:pPr>
    </w:p>
    <w:tbl>
      <w:tblPr>
        <w:tblStyle w:val="Tablaconcuadrcula"/>
        <w:tblpPr w:leftFromText="180" w:rightFromText="180" w:vertAnchor="text" w:horzAnchor="margin" w:tblpY="378"/>
        <w:tblW w:w="9672" w:type="dxa"/>
        <w:tblLook w:val="04A0"/>
      </w:tblPr>
      <w:tblGrid>
        <w:gridCol w:w="740"/>
        <w:gridCol w:w="1041"/>
        <w:gridCol w:w="1676"/>
        <w:gridCol w:w="996"/>
        <w:gridCol w:w="833"/>
        <w:gridCol w:w="1975"/>
        <w:gridCol w:w="2411"/>
      </w:tblGrid>
      <w:tr w:rsidR="00CA5FF6" w:rsidRPr="00705957" w:rsidTr="00CA5FF6">
        <w:trPr>
          <w:trHeight w:val="664"/>
        </w:trPr>
        <w:tc>
          <w:tcPr>
            <w:tcW w:w="1781" w:type="dxa"/>
            <w:gridSpan w:val="2"/>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lastRenderedPageBreak/>
              <w:t>NUMERO</w:t>
            </w:r>
          </w:p>
        </w:tc>
        <w:tc>
          <w:tcPr>
            <w:tcW w:w="1676"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GENERO</w:t>
            </w:r>
          </w:p>
        </w:tc>
        <w:tc>
          <w:tcPr>
            <w:tcW w:w="1829" w:type="dxa"/>
            <w:gridSpan w:val="2"/>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GRUPO</w:t>
            </w:r>
          </w:p>
        </w:tc>
        <w:tc>
          <w:tcPr>
            <w:tcW w:w="1975"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RUBRO</w:t>
            </w:r>
          </w:p>
        </w:tc>
        <w:tc>
          <w:tcPr>
            <w:tcW w:w="2411"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NATURALEZA</w:t>
            </w:r>
          </w:p>
        </w:tc>
      </w:tr>
      <w:tr w:rsidR="00CA5FF6" w:rsidRPr="00705957" w:rsidTr="00CA5FF6">
        <w:trPr>
          <w:trHeight w:val="947"/>
        </w:trPr>
        <w:tc>
          <w:tcPr>
            <w:tcW w:w="1781" w:type="dxa"/>
            <w:gridSpan w:val="2"/>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8.1.4</w:t>
            </w:r>
          </w:p>
        </w:tc>
        <w:tc>
          <w:tcPr>
            <w:tcW w:w="1676"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Cuentas de Orden Presupuestarias</w:t>
            </w:r>
          </w:p>
        </w:tc>
        <w:tc>
          <w:tcPr>
            <w:tcW w:w="1829" w:type="dxa"/>
            <w:gridSpan w:val="2"/>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Ley de Ingresos</w:t>
            </w:r>
          </w:p>
        </w:tc>
        <w:tc>
          <w:tcPr>
            <w:tcW w:w="1975"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Ley de Ingresos Devengada</w:t>
            </w:r>
          </w:p>
        </w:tc>
        <w:tc>
          <w:tcPr>
            <w:tcW w:w="2411"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Acreedora</w:t>
            </w:r>
          </w:p>
        </w:tc>
      </w:tr>
      <w:tr w:rsidR="00CA5FF6" w:rsidRPr="00B036E5" w:rsidTr="00CA5FF6">
        <w:trPr>
          <w:trHeight w:val="664"/>
        </w:trPr>
        <w:tc>
          <w:tcPr>
            <w:tcW w:w="1781" w:type="dxa"/>
            <w:gridSpan w:val="2"/>
            <w:tcBorders>
              <w:bottom w:val="single" w:sz="4" w:space="0" w:color="auto"/>
            </w:tcBorders>
            <w:vAlign w:val="center"/>
          </w:tcPr>
          <w:p w:rsidR="00CA5FF6" w:rsidRPr="00705957" w:rsidRDefault="00CA5FF6" w:rsidP="00747A44">
            <w:pPr>
              <w:rPr>
                <w:rFonts w:ascii="Tw Cen MT" w:hAnsi="Tw Cen MT"/>
                <w:b/>
                <w:sz w:val="20"/>
                <w:szCs w:val="16"/>
                <w:lang w:val="es-MX"/>
              </w:rPr>
            </w:pPr>
          </w:p>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CUENTA</w:t>
            </w:r>
          </w:p>
        </w:tc>
        <w:tc>
          <w:tcPr>
            <w:tcW w:w="7891" w:type="dxa"/>
            <w:gridSpan w:val="5"/>
            <w:tcBorders>
              <w:bottom w:val="single" w:sz="4" w:space="0" w:color="auto"/>
            </w:tcBorders>
            <w:vAlign w:val="center"/>
          </w:tcPr>
          <w:p w:rsidR="00CA5FF6" w:rsidRPr="00B036E5" w:rsidRDefault="00CA5FF6" w:rsidP="00747A44">
            <w:pPr>
              <w:rPr>
                <w:rFonts w:ascii="Tw Cen MT" w:hAnsi="Tw Cen MT" w:cs="Segoe UI"/>
                <w:b/>
                <w:sz w:val="20"/>
                <w:szCs w:val="16"/>
                <w:lang w:val="es-MX"/>
              </w:rPr>
            </w:pPr>
            <w:r>
              <w:rPr>
                <w:rFonts w:ascii="Tw Cen MT" w:hAnsi="Tw Cen MT" w:cs="Segoe UI"/>
                <w:b/>
                <w:sz w:val="20"/>
                <w:szCs w:val="16"/>
                <w:lang w:val="es-MX"/>
              </w:rPr>
              <w:t>Ley de Ingresos Devengada</w:t>
            </w:r>
          </w:p>
        </w:tc>
      </w:tr>
      <w:tr w:rsidR="00CA5FF6" w:rsidRPr="00705957" w:rsidTr="00CA5FF6">
        <w:trPr>
          <w:trHeight w:val="412"/>
        </w:trPr>
        <w:tc>
          <w:tcPr>
            <w:tcW w:w="9672" w:type="dxa"/>
            <w:gridSpan w:val="7"/>
            <w:tcBorders>
              <w:top w:val="single" w:sz="4" w:space="0" w:color="auto"/>
              <w:left w:val="nil"/>
              <w:bottom w:val="single" w:sz="4" w:space="0" w:color="auto"/>
              <w:right w:val="nil"/>
            </w:tcBorders>
            <w:vAlign w:val="center"/>
          </w:tcPr>
          <w:p w:rsidR="00CA5FF6" w:rsidRPr="00705957" w:rsidRDefault="00CA5FF6" w:rsidP="00747A44">
            <w:pPr>
              <w:jc w:val="center"/>
              <w:rPr>
                <w:rFonts w:ascii="Tw Cen MT" w:hAnsi="Tw Cen MT"/>
                <w:b/>
                <w:sz w:val="16"/>
                <w:szCs w:val="16"/>
                <w:lang w:val="es-MX"/>
              </w:rPr>
            </w:pPr>
          </w:p>
        </w:tc>
      </w:tr>
      <w:tr w:rsidR="00CA5FF6" w:rsidRPr="00705957" w:rsidTr="00CA5FF6">
        <w:trPr>
          <w:trHeight w:val="664"/>
        </w:trPr>
        <w:tc>
          <w:tcPr>
            <w:tcW w:w="740" w:type="dxa"/>
            <w:tcBorders>
              <w:top w:val="single" w:sz="4" w:space="0" w:color="auto"/>
            </w:tcBorders>
            <w:vAlign w:val="center"/>
          </w:tcPr>
          <w:p w:rsidR="00CA5FF6" w:rsidRPr="00705957" w:rsidRDefault="00CA5FF6" w:rsidP="00747A44">
            <w:pPr>
              <w:rPr>
                <w:rFonts w:ascii="Tw Cen MT" w:hAnsi="Tw Cen MT"/>
                <w:b/>
                <w:sz w:val="20"/>
                <w:szCs w:val="16"/>
                <w:lang w:val="es-MX"/>
              </w:rPr>
            </w:pPr>
            <w:r w:rsidRPr="00705957">
              <w:rPr>
                <w:rFonts w:ascii="Tw Cen MT" w:hAnsi="Tw Cen MT"/>
                <w:b/>
                <w:sz w:val="20"/>
                <w:szCs w:val="16"/>
                <w:lang w:val="es-MX"/>
              </w:rPr>
              <w:t xml:space="preserve">   No.</w:t>
            </w:r>
          </w:p>
        </w:tc>
        <w:tc>
          <w:tcPr>
            <w:tcW w:w="3713" w:type="dxa"/>
            <w:gridSpan w:val="3"/>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CARGO</w:t>
            </w:r>
          </w:p>
        </w:tc>
        <w:tc>
          <w:tcPr>
            <w:tcW w:w="833" w:type="dxa"/>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No.</w:t>
            </w:r>
          </w:p>
        </w:tc>
        <w:tc>
          <w:tcPr>
            <w:tcW w:w="4386" w:type="dxa"/>
            <w:gridSpan w:val="2"/>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ABONO</w:t>
            </w:r>
          </w:p>
        </w:tc>
      </w:tr>
      <w:tr w:rsidR="00CA5FF6" w:rsidRPr="00F6581B" w:rsidTr="00CA5FF6">
        <w:trPr>
          <w:trHeight w:val="7007"/>
        </w:trPr>
        <w:tc>
          <w:tcPr>
            <w:tcW w:w="740" w:type="dxa"/>
          </w:tcPr>
          <w:p w:rsidR="00CA5FF6" w:rsidRDefault="00CA5FF6" w:rsidP="00747A44">
            <w:pPr>
              <w:jc w:val="center"/>
              <w:rPr>
                <w:rFonts w:ascii="Tw Cen MT" w:hAnsi="Tw Cen MT"/>
                <w:b/>
                <w:sz w:val="20"/>
                <w:szCs w:val="16"/>
                <w:lang w:val="es-MX"/>
              </w:rPr>
            </w:pPr>
            <w:r>
              <w:rPr>
                <w:rFonts w:ascii="Tw Cen MT" w:hAnsi="Tw Cen MT"/>
                <w:b/>
                <w:sz w:val="20"/>
                <w:szCs w:val="16"/>
                <w:lang w:val="es-MX"/>
              </w:rPr>
              <w:t>1</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Pr="00785FC4" w:rsidRDefault="00CA5FF6" w:rsidP="00747A44">
            <w:pPr>
              <w:jc w:val="center"/>
              <w:rPr>
                <w:rFonts w:ascii="Tw Cen MT" w:hAnsi="Tw Cen MT"/>
                <w:b/>
                <w:sz w:val="20"/>
                <w:szCs w:val="20"/>
                <w:lang w:val="es-MX"/>
              </w:rPr>
            </w:pPr>
          </w:p>
          <w:p w:rsidR="00CA5FF6" w:rsidRPr="00C55325" w:rsidRDefault="00CA5FF6" w:rsidP="00747A44">
            <w:pPr>
              <w:jc w:val="center"/>
              <w:rPr>
                <w:rFonts w:ascii="Tw Cen MT" w:hAnsi="Tw Cen MT"/>
                <w:b/>
                <w:sz w:val="20"/>
                <w:szCs w:val="20"/>
                <w:lang w:val="es-MX"/>
              </w:rPr>
            </w:pPr>
          </w:p>
          <w:p w:rsidR="00CA5FF6" w:rsidRPr="004754F3" w:rsidRDefault="00CA5FF6" w:rsidP="00747A44">
            <w:pPr>
              <w:jc w:val="center"/>
              <w:rPr>
                <w:rFonts w:ascii="Tw Cen MT" w:hAnsi="Tw Cen MT"/>
                <w:b/>
                <w:sz w:val="20"/>
                <w:szCs w:val="20"/>
                <w:lang w:val="es-MX"/>
              </w:rPr>
            </w:pPr>
            <w:r>
              <w:rPr>
                <w:rFonts w:ascii="Tw Cen MT" w:hAnsi="Tw Cen MT"/>
                <w:b/>
                <w:sz w:val="20"/>
                <w:szCs w:val="20"/>
                <w:lang w:val="es-MX"/>
              </w:rPr>
              <w:t>2</w:t>
            </w:r>
          </w:p>
          <w:p w:rsidR="00CA5FF6" w:rsidRDefault="00CA5FF6" w:rsidP="00747A44">
            <w:pPr>
              <w:jc w:val="center"/>
              <w:rPr>
                <w:rFonts w:ascii="Tw Cen MT" w:hAnsi="Tw Cen MT"/>
                <w:b/>
                <w:sz w:val="18"/>
                <w:szCs w:val="18"/>
                <w:lang w:val="es-MX"/>
              </w:rPr>
            </w:pPr>
          </w:p>
          <w:p w:rsidR="00CA5FF6" w:rsidRDefault="00CA5FF6" w:rsidP="00747A44">
            <w:pPr>
              <w:jc w:val="center"/>
              <w:rPr>
                <w:rFonts w:ascii="Tw Cen MT" w:hAnsi="Tw Cen MT"/>
                <w:b/>
                <w:sz w:val="18"/>
                <w:szCs w:val="18"/>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3</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4</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5</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Pr="00B068FF" w:rsidRDefault="00CA5FF6" w:rsidP="00747A44">
            <w:pPr>
              <w:jc w:val="center"/>
              <w:rPr>
                <w:rFonts w:ascii="Tw Cen MT" w:hAnsi="Tw Cen MT"/>
                <w:b/>
                <w:sz w:val="20"/>
                <w:szCs w:val="16"/>
                <w:lang w:val="es-MX"/>
              </w:rPr>
            </w:pPr>
            <w:r>
              <w:rPr>
                <w:rFonts w:ascii="Tw Cen MT" w:hAnsi="Tw Cen MT"/>
                <w:b/>
                <w:sz w:val="20"/>
                <w:szCs w:val="16"/>
                <w:lang w:val="es-MX"/>
              </w:rPr>
              <w:t>6</w:t>
            </w:r>
          </w:p>
        </w:tc>
        <w:tc>
          <w:tcPr>
            <w:tcW w:w="3713" w:type="dxa"/>
            <w:gridSpan w:val="3"/>
          </w:tcPr>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la recaudación determinable de:</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-Venta de bienes y prestación de servicios a corto plazo.</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-Convenios</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el devengado y cobro de:</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-Subsidios y Subvenciones</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el cobro por la venta de Bienes de uso.</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la venta de bienes muebles no registrados en el inventario.</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la devolución de:</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-Ingresos por venta de bienes y prestación de servicios a corto plazo.</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-Convenios</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-Subsidios y Subvenciones</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Del traspaso del saldo acreedor de esta cuenta a la 8.1.2 Ley de Ingresos por Ejecutar.</w:t>
            </w:r>
          </w:p>
          <w:p w:rsidR="00CA5FF6" w:rsidRDefault="00CA5FF6" w:rsidP="00747A44">
            <w:pPr>
              <w:rPr>
                <w:rFonts w:ascii="Tw Cen MT" w:hAnsi="Tw Cen MT" w:cs="Calibri"/>
                <w:b/>
                <w:sz w:val="20"/>
                <w:szCs w:val="20"/>
                <w:lang w:val="es-MX"/>
              </w:rPr>
            </w:pPr>
          </w:p>
          <w:p w:rsidR="00CA5FF6" w:rsidRPr="0029379B" w:rsidRDefault="00CA5FF6" w:rsidP="00747A44">
            <w:pPr>
              <w:rPr>
                <w:rFonts w:ascii="Tw Cen MT" w:hAnsi="Tw Cen MT" w:cs="Calibri"/>
                <w:b/>
                <w:sz w:val="20"/>
                <w:szCs w:val="20"/>
                <w:lang w:val="es-MX"/>
              </w:rPr>
            </w:pPr>
          </w:p>
        </w:tc>
        <w:tc>
          <w:tcPr>
            <w:tcW w:w="833" w:type="dxa"/>
          </w:tcPr>
          <w:p w:rsidR="00CA5FF6" w:rsidRDefault="00CA5FF6" w:rsidP="00747A44">
            <w:pPr>
              <w:jc w:val="center"/>
              <w:rPr>
                <w:rFonts w:ascii="Tw Cen MT" w:hAnsi="Tw Cen MT"/>
                <w:b/>
                <w:sz w:val="20"/>
                <w:szCs w:val="16"/>
                <w:lang w:val="es-MX"/>
              </w:rPr>
            </w:pPr>
            <w:r>
              <w:rPr>
                <w:rFonts w:ascii="Tw Cen MT" w:hAnsi="Tw Cen MT"/>
                <w:b/>
                <w:sz w:val="20"/>
                <w:szCs w:val="16"/>
                <w:lang w:val="es-MX"/>
              </w:rPr>
              <w:t>1</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2</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3</w:t>
            </w:r>
          </w:p>
          <w:p w:rsidR="00CA5FF6" w:rsidRDefault="00CA5FF6" w:rsidP="00747A44">
            <w:pPr>
              <w:jc w:val="center"/>
              <w:rPr>
                <w:rFonts w:ascii="Tw Cen MT" w:hAnsi="Tw Cen MT"/>
                <w:b/>
                <w:sz w:val="20"/>
                <w:szCs w:val="16"/>
                <w:lang w:val="es-MX"/>
              </w:rPr>
            </w:pPr>
          </w:p>
          <w:p w:rsidR="00CA5FF6" w:rsidRPr="00C55325" w:rsidRDefault="00CA5FF6" w:rsidP="00747A44">
            <w:pPr>
              <w:jc w:val="center"/>
              <w:rPr>
                <w:rFonts w:ascii="Tw Cen MT" w:hAnsi="Tw Cen MT"/>
                <w:b/>
                <w:sz w:val="20"/>
                <w:szCs w:val="20"/>
                <w:lang w:val="es-MX"/>
              </w:rPr>
            </w:pPr>
          </w:p>
          <w:p w:rsidR="00CA5FF6" w:rsidRPr="004754F3" w:rsidRDefault="00CA5FF6" w:rsidP="00747A44">
            <w:pPr>
              <w:jc w:val="center"/>
              <w:rPr>
                <w:rFonts w:ascii="Tw Cen MT" w:hAnsi="Tw Cen MT"/>
                <w:b/>
                <w:sz w:val="20"/>
                <w:szCs w:val="20"/>
                <w:lang w:val="es-MX"/>
              </w:rPr>
            </w:pPr>
            <w:r>
              <w:rPr>
                <w:rFonts w:ascii="Tw Cen MT" w:hAnsi="Tw Cen MT"/>
                <w:b/>
                <w:sz w:val="20"/>
                <w:szCs w:val="20"/>
                <w:lang w:val="es-MX"/>
              </w:rPr>
              <w:t>4</w:t>
            </w:r>
          </w:p>
          <w:p w:rsidR="00CA5FF6" w:rsidRDefault="00CA5FF6" w:rsidP="00747A44">
            <w:pPr>
              <w:jc w:val="center"/>
              <w:rPr>
                <w:rFonts w:ascii="Tw Cen MT" w:hAnsi="Tw Cen MT"/>
                <w:b/>
                <w:sz w:val="16"/>
                <w:szCs w:val="16"/>
                <w:lang w:val="es-MX"/>
              </w:rPr>
            </w:pPr>
          </w:p>
          <w:p w:rsidR="00CA5FF6" w:rsidRPr="00C55325" w:rsidRDefault="00CA5FF6" w:rsidP="00747A44">
            <w:pPr>
              <w:jc w:val="center"/>
              <w:rPr>
                <w:rFonts w:ascii="Tw Cen MT" w:hAnsi="Tw Cen MT"/>
                <w:b/>
                <w:sz w:val="20"/>
                <w:szCs w:val="20"/>
                <w:lang w:val="es-MX"/>
              </w:rPr>
            </w:pPr>
            <w:r>
              <w:rPr>
                <w:rFonts w:ascii="Tw Cen MT" w:hAnsi="Tw Cen MT"/>
                <w:b/>
                <w:sz w:val="20"/>
                <w:szCs w:val="20"/>
                <w:lang w:val="es-MX"/>
              </w:rPr>
              <w:t>5</w:t>
            </w: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Pr="00C55325"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6"/>
                <w:szCs w:val="16"/>
                <w:lang w:val="es-MX"/>
              </w:rPr>
            </w:pPr>
          </w:p>
          <w:p w:rsidR="00CA5FF6" w:rsidRDefault="00CA5FF6" w:rsidP="00747A44">
            <w:pPr>
              <w:jc w:val="center"/>
              <w:rPr>
                <w:rFonts w:ascii="Tw Cen MT" w:hAnsi="Tw Cen MT"/>
                <w:b/>
                <w:sz w:val="18"/>
                <w:szCs w:val="18"/>
                <w:lang w:val="es-MX"/>
              </w:rPr>
            </w:pPr>
          </w:p>
          <w:p w:rsidR="00CA5FF6" w:rsidRPr="00047EE8" w:rsidRDefault="00CA5FF6" w:rsidP="00747A44">
            <w:pPr>
              <w:rPr>
                <w:rFonts w:ascii="Tw Cen MT" w:hAnsi="Tw Cen MT"/>
                <w:b/>
                <w:sz w:val="18"/>
                <w:szCs w:val="18"/>
                <w:lang w:val="es-MX"/>
              </w:rPr>
            </w:pPr>
          </w:p>
        </w:tc>
        <w:tc>
          <w:tcPr>
            <w:tcW w:w="4386" w:type="dxa"/>
            <w:gridSpan w:val="2"/>
          </w:tcPr>
          <w:p w:rsidR="00CA5FF6" w:rsidRDefault="00CA5FF6" w:rsidP="00747A44">
            <w:pPr>
              <w:rPr>
                <w:rFonts w:ascii="Tw Cen MT" w:hAnsi="Tw Cen MT"/>
                <w:b/>
                <w:sz w:val="20"/>
                <w:szCs w:val="20"/>
                <w:lang w:val="es-MX"/>
              </w:rPr>
            </w:pPr>
            <w:r>
              <w:rPr>
                <w:rFonts w:ascii="Tw Cen MT" w:hAnsi="Tw Cen MT"/>
                <w:b/>
                <w:sz w:val="20"/>
                <w:szCs w:val="20"/>
                <w:lang w:val="es-MX"/>
              </w:rPr>
              <w:t>Por las modificaciones negativas a la estimación de la Ley de Ingresos.</w:t>
            </w:r>
          </w:p>
          <w:p w:rsidR="00CA5FF6" w:rsidRDefault="00CA5FF6" w:rsidP="00747A44">
            <w:pPr>
              <w:rPr>
                <w:rFonts w:ascii="Tw Cen MT" w:hAnsi="Tw Cen MT"/>
                <w:b/>
                <w:sz w:val="20"/>
                <w:szCs w:val="20"/>
                <w:lang w:val="es-MX"/>
              </w:rPr>
            </w:pPr>
          </w:p>
          <w:p w:rsidR="00CA5FF6" w:rsidRDefault="00CA5FF6" w:rsidP="00747A44">
            <w:pPr>
              <w:rPr>
                <w:rFonts w:ascii="Tw Cen MT" w:hAnsi="Tw Cen MT"/>
                <w:b/>
                <w:sz w:val="20"/>
                <w:szCs w:val="20"/>
                <w:lang w:val="es-MX"/>
              </w:rPr>
            </w:pPr>
            <w:r>
              <w:rPr>
                <w:rFonts w:ascii="Tw Cen MT" w:hAnsi="Tw Cen MT"/>
                <w:b/>
                <w:sz w:val="20"/>
                <w:szCs w:val="20"/>
                <w:lang w:val="es-MX"/>
              </w:rPr>
              <w:t>Por el devengado determinable de:</w:t>
            </w:r>
          </w:p>
          <w:p w:rsidR="00CA5FF6" w:rsidRDefault="00CA5FF6" w:rsidP="00747A44">
            <w:pPr>
              <w:rPr>
                <w:rFonts w:ascii="Tw Cen MT" w:hAnsi="Tw Cen MT"/>
                <w:b/>
                <w:sz w:val="20"/>
                <w:szCs w:val="20"/>
                <w:lang w:val="es-MX"/>
              </w:rPr>
            </w:pPr>
            <w:r>
              <w:rPr>
                <w:rFonts w:ascii="Tw Cen MT" w:hAnsi="Tw Cen MT"/>
                <w:b/>
                <w:sz w:val="20"/>
                <w:szCs w:val="20"/>
                <w:lang w:val="es-MX"/>
              </w:rPr>
              <w:t>-Venta de bienes y prestación de servicios a corto plazo.</w:t>
            </w:r>
          </w:p>
          <w:p w:rsidR="00CA5FF6" w:rsidRDefault="00CA5FF6" w:rsidP="00747A44">
            <w:pPr>
              <w:rPr>
                <w:rFonts w:ascii="Tw Cen MT" w:hAnsi="Tw Cen MT"/>
                <w:b/>
                <w:sz w:val="20"/>
                <w:szCs w:val="20"/>
                <w:lang w:val="es-MX"/>
              </w:rPr>
            </w:pPr>
            <w:r>
              <w:rPr>
                <w:rFonts w:ascii="Tw Cen MT" w:hAnsi="Tw Cen MT"/>
                <w:b/>
                <w:sz w:val="20"/>
                <w:szCs w:val="20"/>
                <w:lang w:val="es-MX"/>
              </w:rPr>
              <w:t>-Convenios</w:t>
            </w:r>
          </w:p>
          <w:p w:rsidR="00CA5FF6" w:rsidRDefault="00CA5FF6" w:rsidP="00747A44">
            <w:pPr>
              <w:rPr>
                <w:rFonts w:ascii="Tw Cen MT" w:hAnsi="Tw Cen MT"/>
                <w:b/>
                <w:sz w:val="20"/>
                <w:szCs w:val="20"/>
                <w:lang w:val="es-MX"/>
              </w:rPr>
            </w:pPr>
          </w:p>
          <w:p w:rsidR="00CA5FF6" w:rsidRDefault="00CA5FF6" w:rsidP="00747A44">
            <w:pPr>
              <w:rPr>
                <w:rFonts w:ascii="Tw Cen MT" w:hAnsi="Tw Cen MT"/>
                <w:b/>
                <w:sz w:val="20"/>
                <w:szCs w:val="20"/>
                <w:lang w:val="es-MX"/>
              </w:rPr>
            </w:pPr>
            <w:r>
              <w:rPr>
                <w:rFonts w:ascii="Tw Cen MT" w:hAnsi="Tw Cen MT"/>
                <w:b/>
                <w:sz w:val="20"/>
                <w:szCs w:val="20"/>
                <w:lang w:val="es-MX"/>
              </w:rPr>
              <w:t>Por el devengado y cobro de:</w:t>
            </w:r>
          </w:p>
          <w:p w:rsidR="00CA5FF6" w:rsidRDefault="00CA5FF6" w:rsidP="00747A44">
            <w:pPr>
              <w:rPr>
                <w:rFonts w:ascii="Tw Cen MT" w:hAnsi="Tw Cen MT"/>
                <w:b/>
                <w:sz w:val="20"/>
                <w:szCs w:val="20"/>
                <w:lang w:val="es-MX"/>
              </w:rPr>
            </w:pPr>
            <w:r>
              <w:rPr>
                <w:rFonts w:ascii="Tw Cen MT" w:hAnsi="Tw Cen MT"/>
                <w:b/>
                <w:sz w:val="20"/>
                <w:szCs w:val="20"/>
                <w:lang w:val="es-MX"/>
              </w:rPr>
              <w:t>-Subsidios y Subvenciones</w:t>
            </w:r>
          </w:p>
          <w:p w:rsidR="00CA5FF6" w:rsidRDefault="00CA5FF6" w:rsidP="00747A44">
            <w:pPr>
              <w:rPr>
                <w:rFonts w:ascii="Tw Cen MT" w:hAnsi="Tw Cen MT"/>
                <w:b/>
                <w:sz w:val="20"/>
                <w:szCs w:val="20"/>
                <w:lang w:val="es-MX"/>
              </w:rPr>
            </w:pPr>
          </w:p>
          <w:p w:rsidR="00CA5FF6" w:rsidRDefault="00CA5FF6" w:rsidP="00747A44">
            <w:pPr>
              <w:rPr>
                <w:rFonts w:ascii="Tw Cen MT" w:hAnsi="Tw Cen MT"/>
                <w:b/>
                <w:sz w:val="20"/>
                <w:szCs w:val="20"/>
                <w:lang w:val="es-MX"/>
              </w:rPr>
            </w:pPr>
            <w:r>
              <w:rPr>
                <w:rFonts w:ascii="Tw Cen MT" w:hAnsi="Tw Cen MT"/>
                <w:b/>
                <w:sz w:val="20"/>
                <w:szCs w:val="20"/>
                <w:lang w:val="es-MX"/>
              </w:rPr>
              <w:t>Por el devengado de la venta de bienes de uso.</w:t>
            </w:r>
          </w:p>
          <w:p w:rsidR="00CA5FF6" w:rsidRDefault="00CA5FF6" w:rsidP="00747A44">
            <w:pPr>
              <w:rPr>
                <w:rFonts w:ascii="Tw Cen MT" w:hAnsi="Tw Cen MT"/>
                <w:b/>
                <w:sz w:val="20"/>
                <w:szCs w:val="20"/>
                <w:lang w:val="es-MX"/>
              </w:rPr>
            </w:pPr>
          </w:p>
          <w:p w:rsidR="00CA5FF6" w:rsidRDefault="00CA5FF6" w:rsidP="00747A44">
            <w:pPr>
              <w:rPr>
                <w:rFonts w:ascii="Tw Cen MT" w:hAnsi="Tw Cen MT"/>
                <w:b/>
                <w:sz w:val="20"/>
                <w:szCs w:val="20"/>
                <w:lang w:val="es-MX"/>
              </w:rPr>
            </w:pPr>
            <w:r>
              <w:rPr>
                <w:rFonts w:ascii="Tw Cen MT" w:hAnsi="Tw Cen MT"/>
                <w:b/>
                <w:sz w:val="20"/>
                <w:szCs w:val="20"/>
                <w:lang w:val="es-MX"/>
              </w:rPr>
              <w:t>Por el devengado de la venta de bienes muebles no registrados en el inventario.</w:t>
            </w:r>
          </w:p>
          <w:p w:rsidR="00CA5FF6" w:rsidRPr="00F6581B" w:rsidRDefault="00CA5FF6" w:rsidP="00747A44">
            <w:pPr>
              <w:rPr>
                <w:rFonts w:ascii="Tw Cen MT" w:hAnsi="Tw Cen MT"/>
                <w:b/>
                <w:sz w:val="20"/>
                <w:szCs w:val="20"/>
                <w:lang w:val="es-MX"/>
              </w:rPr>
            </w:pPr>
          </w:p>
        </w:tc>
      </w:tr>
      <w:tr w:rsidR="00CA5FF6" w:rsidRPr="00705957" w:rsidTr="00CA5FF6">
        <w:trPr>
          <w:trHeight w:val="762"/>
        </w:trPr>
        <w:tc>
          <w:tcPr>
            <w:tcW w:w="9672" w:type="dxa"/>
            <w:gridSpan w:val="7"/>
          </w:tcPr>
          <w:p w:rsidR="00CA5FF6" w:rsidRPr="00705957" w:rsidRDefault="00CA5FF6" w:rsidP="00747A44">
            <w:pPr>
              <w:rPr>
                <w:rFonts w:ascii="Tw Cen MT" w:hAnsi="Tw Cen MT"/>
                <w:b/>
                <w:sz w:val="20"/>
                <w:szCs w:val="16"/>
                <w:lang w:val="es-MX"/>
              </w:rPr>
            </w:pPr>
            <w:r w:rsidRPr="00705957">
              <w:rPr>
                <w:rFonts w:ascii="Tw Cen MT" w:hAnsi="Tw Cen MT"/>
                <w:b/>
                <w:sz w:val="20"/>
                <w:szCs w:val="16"/>
                <w:lang w:val="es-MX"/>
              </w:rPr>
              <w:t xml:space="preserve">SU </w:t>
            </w:r>
            <w:r>
              <w:rPr>
                <w:rFonts w:ascii="Tw Cen MT" w:hAnsi="Tw Cen MT"/>
                <w:b/>
                <w:sz w:val="20"/>
                <w:szCs w:val="16"/>
                <w:lang w:val="es-MX"/>
              </w:rPr>
              <w:t>S</w:t>
            </w:r>
            <w:r w:rsidRPr="00705957">
              <w:rPr>
                <w:rFonts w:ascii="Tw Cen MT" w:hAnsi="Tw Cen MT"/>
                <w:b/>
                <w:sz w:val="20"/>
                <w:szCs w:val="16"/>
                <w:lang w:val="es-MX"/>
              </w:rPr>
              <w:t>ALDO REPRESENTA</w:t>
            </w:r>
          </w:p>
          <w:p w:rsidR="00CA5FF6" w:rsidRPr="00705957" w:rsidRDefault="00CA5FF6" w:rsidP="00747A44">
            <w:pPr>
              <w:rPr>
                <w:rFonts w:ascii="Tw Cen MT" w:hAnsi="Tw Cen MT"/>
                <w:b/>
                <w:sz w:val="20"/>
                <w:szCs w:val="16"/>
                <w:lang w:val="es-MX"/>
              </w:rPr>
            </w:pPr>
            <w:r>
              <w:rPr>
                <w:rFonts w:ascii="Tw Cen MT" w:hAnsi="Tw Cen MT"/>
                <w:b/>
                <w:sz w:val="20"/>
                <w:szCs w:val="16"/>
                <w:lang w:val="es-MX"/>
              </w:rPr>
              <w:t>Los derechos de cobro de la venta de bienes y servicios, además de participaciones, aportaciones, recursos convenidos, y otros ingresos por parte del ente.  Su saldo representa la Ley de Ingresos Devengada pendiente de recaudar.</w:t>
            </w:r>
          </w:p>
        </w:tc>
      </w:tr>
      <w:tr w:rsidR="00CA5FF6" w:rsidRPr="00705957" w:rsidTr="00CA5FF6">
        <w:trPr>
          <w:trHeight w:val="553"/>
        </w:trPr>
        <w:tc>
          <w:tcPr>
            <w:tcW w:w="9672" w:type="dxa"/>
            <w:gridSpan w:val="7"/>
          </w:tcPr>
          <w:p w:rsidR="00CA5FF6" w:rsidRPr="00705957" w:rsidRDefault="00CA5FF6" w:rsidP="00747A44">
            <w:pPr>
              <w:rPr>
                <w:rFonts w:ascii="Tw Cen MT" w:hAnsi="Tw Cen MT"/>
                <w:b/>
                <w:sz w:val="20"/>
                <w:szCs w:val="16"/>
                <w:lang w:val="es-MX"/>
              </w:rPr>
            </w:pPr>
            <w:r w:rsidRPr="00705957">
              <w:rPr>
                <w:rFonts w:ascii="Tw Cen MT" w:hAnsi="Tw Cen MT"/>
                <w:b/>
                <w:sz w:val="20"/>
                <w:szCs w:val="16"/>
                <w:lang w:val="es-MX"/>
              </w:rPr>
              <w:t>OBSERVACIONES</w:t>
            </w:r>
          </w:p>
          <w:p w:rsidR="00CA5FF6" w:rsidRPr="00705957" w:rsidRDefault="00CA5FF6" w:rsidP="00747A44">
            <w:pPr>
              <w:rPr>
                <w:rFonts w:ascii="Tw Cen MT" w:hAnsi="Tw Cen MT"/>
                <w:b/>
                <w:sz w:val="20"/>
                <w:szCs w:val="16"/>
                <w:lang w:val="es-MX"/>
              </w:rPr>
            </w:pPr>
          </w:p>
        </w:tc>
      </w:tr>
    </w:tbl>
    <w:p w:rsidR="00ED4DFB" w:rsidRDefault="00ED4DFB" w:rsidP="00773BDE">
      <w:pPr>
        <w:jc w:val="both"/>
        <w:rPr>
          <w:rFonts w:ascii="Arial Narrow" w:hAnsi="Arial Narrow" w:cs="Arial"/>
          <w:sz w:val="28"/>
          <w:szCs w:val="28"/>
          <w:lang w:val="es-MX" w:eastAsia="es-MX"/>
        </w:rPr>
      </w:pPr>
    </w:p>
    <w:p w:rsidR="00ED4DFB" w:rsidRPr="00227780" w:rsidRDefault="00ED4DFB" w:rsidP="00773BDE">
      <w:pPr>
        <w:jc w:val="both"/>
        <w:rPr>
          <w:rFonts w:ascii="Arial Narrow" w:hAnsi="Arial Narrow" w:cs="Arial"/>
          <w:sz w:val="28"/>
          <w:szCs w:val="28"/>
          <w:lang w:val="es-MX" w:eastAsia="es-MX"/>
        </w:rPr>
      </w:pPr>
    </w:p>
    <w:tbl>
      <w:tblPr>
        <w:tblStyle w:val="Tablaconcuadrcula"/>
        <w:tblpPr w:leftFromText="180" w:rightFromText="180" w:vertAnchor="text" w:horzAnchor="margin" w:tblpY="409"/>
        <w:tblW w:w="9597" w:type="dxa"/>
        <w:tblLayout w:type="fixed"/>
        <w:tblLook w:val="04A0"/>
      </w:tblPr>
      <w:tblGrid>
        <w:gridCol w:w="734"/>
        <w:gridCol w:w="1033"/>
        <w:gridCol w:w="1663"/>
        <w:gridCol w:w="988"/>
        <w:gridCol w:w="827"/>
        <w:gridCol w:w="1960"/>
        <w:gridCol w:w="2392"/>
      </w:tblGrid>
      <w:tr w:rsidR="00CA5FF6" w:rsidRPr="00705957" w:rsidTr="00747A44">
        <w:trPr>
          <w:trHeight w:val="550"/>
        </w:trPr>
        <w:tc>
          <w:tcPr>
            <w:tcW w:w="1767" w:type="dxa"/>
            <w:gridSpan w:val="2"/>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lastRenderedPageBreak/>
              <w:t>NUMERO</w:t>
            </w:r>
          </w:p>
        </w:tc>
        <w:tc>
          <w:tcPr>
            <w:tcW w:w="1663"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GENERO</w:t>
            </w:r>
          </w:p>
        </w:tc>
        <w:tc>
          <w:tcPr>
            <w:tcW w:w="1815" w:type="dxa"/>
            <w:gridSpan w:val="2"/>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GRUPO</w:t>
            </w:r>
          </w:p>
        </w:tc>
        <w:tc>
          <w:tcPr>
            <w:tcW w:w="1960"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RUBRO</w:t>
            </w:r>
          </w:p>
        </w:tc>
        <w:tc>
          <w:tcPr>
            <w:tcW w:w="2392" w:type="dxa"/>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NATURALEZA</w:t>
            </w:r>
          </w:p>
        </w:tc>
      </w:tr>
      <w:tr w:rsidR="00CA5FF6" w:rsidRPr="00705957" w:rsidTr="00747A44">
        <w:trPr>
          <w:trHeight w:val="784"/>
        </w:trPr>
        <w:tc>
          <w:tcPr>
            <w:tcW w:w="1767" w:type="dxa"/>
            <w:gridSpan w:val="2"/>
            <w:tcBorders>
              <w:bottom w:val="single" w:sz="4" w:space="0" w:color="auto"/>
            </w:tcBorders>
            <w:vAlign w:val="center"/>
          </w:tcPr>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5.1.2.1</w:t>
            </w:r>
          </w:p>
          <w:p w:rsidR="00CA5FF6" w:rsidRPr="00705957" w:rsidRDefault="00CA5FF6" w:rsidP="00747A44">
            <w:pPr>
              <w:jc w:val="center"/>
              <w:rPr>
                <w:rFonts w:ascii="Tw Cen MT" w:hAnsi="Tw Cen MT"/>
                <w:b/>
                <w:sz w:val="20"/>
                <w:szCs w:val="16"/>
                <w:lang w:val="es-MX"/>
              </w:rPr>
            </w:pPr>
          </w:p>
        </w:tc>
        <w:tc>
          <w:tcPr>
            <w:tcW w:w="1663"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Gastos y Otras Perdidas</w:t>
            </w:r>
          </w:p>
        </w:tc>
        <w:tc>
          <w:tcPr>
            <w:tcW w:w="1815" w:type="dxa"/>
            <w:gridSpan w:val="2"/>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Gastos de Funcionamiento</w:t>
            </w:r>
          </w:p>
        </w:tc>
        <w:tc>
          <w:tcPr>
            <w:tcW w:w="1960"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Materiales y Suministros</w:t>
            </w:r>
          </w:p>
        </w:tc>
        <w:tc>
          <w:tcPr>
            <w:tcW w:w="2392" w:type="dxa"/>
            <w:tcBorders>
              <w:bottom w:val="single" w:sz="4" w:space="0" w:color="auto"/>
            </w:tcBorders>
            <w:vAlign w:val="center"/>
          </w:tcPr>
          <w:p w:rsidR="00CA5FF6" w:rsidRPr="00705957" w:rsidRDefault="00CA5FF6" w:rsidP="00747A44">
            <w:pPr>
              <w:jc w:val="center"/>
              <w:rPr>
                <w:rFonts w:ascii="Tw Cen MT" w:hAnsi="Tw Cen MT"/>
                <w:b/>
                <w:sz w:val="20"/>
                <w:szCs w:val="16"/>
                <w:lang w:val="es-MX"/>
              </w:rPr>
            </w:pPr>
            <w:r>
              <w:rPr>
                <w:rFonts w:ascii="Tw Cen MT" w:hAnsi="Tw Cen MT"/>
                <w:b/>
                <w:sz w:val="20"/>
                <w:szCs w:val="16"/>
                <w:lang w:val="es-MX"/>
              </w:rPr>
              <w:t>Deudora</w:t>
            </w:r>
          </w:p>
        </w:tc>
      </w:tr>
      <w:tr w:rsidR="00CA5FF6" w:rsidRPr="00B036E5" w:rsidTr="00747A44">
        <w:trPr>
          <w:trHeight w:val="550"/>
        </w:trPr>
        <w:tc>
          <w:tcPr>
            <w:tcW w:w="1767" w:type="dxa"/>
            <w:gridSpan w:val="2"/>
            <w:tcBorders>
              <w:bottom w:val="single" w:sz="4" w:space="0" w:color="auto"/>
            </w:tcBorders>
            <w:vAlign w:val="center"/>
          </w:tcPr>
          <w:p w:rsidR="00CA5FF6" w:rsidRPr="00705957" w:rsidRDefault="00CA5FF6" w:rsidP="00747A44">
            <w:pPr>
              <w:rPr>
                <w:rFonts w:ascii="Tw Cen MT" w:hAnsi="Tw Cen MT"/>
                <w:b/>
                <w:sz w:val="20"/>
                <w:szCs w:val="16"/>
                <w:lang w:val="es-MX"/>
              </w:rPr>
            </w:pPr>
          </w:p>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CUENTA</w:t>
            </w:r>
          </w:p>
        </w:tc>
        <w:tc>
          <w:tcPr>
            <w:tcW w:w="7830" w:type="dxa"/>
            <w:gridSpan w:val="5"/>
            <w:tcBorders>
              <w:bottom w:val="single" w:sz="4" w:space="0" w:color="auto"/>
            </w:tcBorders>
            <w:vAlign w:val="center"/>
          </w:tcPr>
          <w:p w:rsidR="00CA5FF6" w:rsidRPr="00B036E5" w:rsidRDefault="00CA5FF6" w:rsidP="00747A44">
            <w:pPr>
              <w:rPr>
                <w:rFonts w:ascii="Tw Cen MT" w:hAnsi="Tw Cen MT" w:cs="Segoe UI"/>
                <w:b/>
                <w:sz w:val="20"/>
                <w:szCs w:val="16"/>
                <w:lang w:val="es-MX"/>
              </w:rPr>
            </w:pPr>
            <w:r>
              <w:rPr>
                <w:rFonts w:ascii="Tw Cen MT" w:hAnsi="Tw Cen MT" w:cs="Segoe UI"/>
                <w:b/>
                <w:sz w:val="20"/>
                <w:szCs w:val="16"/>
                <w:lang w:val="es-MX"/>
              </w:rPr>
              <w:t>Materiales de Administración, Emisión de documentos y Artículos Oficiales</w:t>
            </w:r>
          </w:p>
        </w:tc>
      </w:tr>
      <w:tr w:rsidR="00CA5FF6" w:rsidRPr="00705957" w:rsidTr="00747A44">
        <w:trPr>
          <w:trHeight w:val="341"/>
        </w:trPr>
        <w:tc>
          <w:tcPr>
            <w:tcW w:w="9597" w:type="dxa"/>
            <w:gridSpan w:val="7"/>
            <w:tcBorders>
              <w:top w:val="single" w:sz="4" w:space="0" w:color="auto"/>
              <w:left w:val="nil"/>
              <w:bottom w:val="single" w:sz="4" w:space="0" w:color="auto"/>
              <w:right w:val="nil"/>
            </w:tcBorders>
            <w:vAlign w:val="center"/>
          </w:tcPr>
          <w:p w:rsidR="00CA5FF6" w:rsidRPr="00705957" w:rsidRDefault="00CA5FF6" w:rsidP="00747A44">
            <w:pPr>
              <w:jc w:val="center"/>
              <w:rPr>
                <w:rFonts w:ascii="Tw Cen MT" w:hAnsi="Tw Cen MT"/>
                <w:b/>
                <w:sz w:val="16"/>
                <w:szCs w:val="16"/>
                <w:lang w:val="es-MX"/>
              </w:rPr>
            </w:pPr>
          </w:p>
        </w:tc>
      </w:tr>
      <w:tr w:rsidR="00CA5FF6" w:rsidRPr="00705957" w:rsidTr="00747A44">
        <w:trPr>
          <w:trHeight w:val="550"/>
        </w:trPr>
        <w:tc>
          <w:tcPr>
            <w:tcW w:w="734" w:type="dxa"/>
            <w:tcBorders>
              <w:top w:val="single" w:sz="4" w:space="0" w:color="auto"/>
            </w:tcBorders>
            <w:vAlign w:val="center"/>
          </w:tcPr>
          <w:p w:rsidR="00CA5FF6" w:rsidRPr="00705957" w:rsidRDefault="00CA5FF6" w:rsidP="00747A44">
            <w:pPr>
              <w:rPr>
                <w:rFonts w:ascii="Tw Cen MT" w:hAnsi="Tw Cen MT"/>
                <w:b/>
                <w:sz w:val="20"/>
                <w:szCs w:val="16"/>
                <w:lang w:val="es-MX"/>
              </w:rPr>
            </w:pPr>
            <w:r w:rsidRPr="00705957">
              <w:rPr>
                <w:rFonts w:ascii="Tw Cen MT" w:hAnsi="Tw Cen MT"/>
                <w:b/>
                <w:sz w:val="20"/>
                <w:szCs w:val="16"/>
                <w:lang w:val="es-MX"/>
              </w:rPr>
              <w:t xml:space="preserve">   No.</w:t>
            </w:r>
          </w:p>
        </w:tc>
        <w:tc>
          <w:tcPr>
            <w:tcW w:w="3684" w:type="dxa"/>
            <w:gridSpan w:val="3"/>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CARGO</w:t>
            </w:r>
          </w:p>
        </w:tc>
        <w:tc>
          <w:tcPr>
            <w:tcW w:w="827" w:type="dxa"/>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No.</w:t>
            </w:r>
          </w:p>
        </w:tc>
        <w:tc>
          <w:tcPr>
            <w:tcW w:w="4352" w:type="dxa"/>
            <w:gridSpan w:val="2"/>
            <w:tcBorders>
              <w:top w:val="single" w:sz="4" w:space="0" w:color="auto"/>
            </w:tcBorders>
            <w:vAlign w:val="center"/>
          </w:tcPr>
          <w:p w:rsidR="00CA5FF6" w:rsidRPr="00705957" w:rsidRDefault="00CA5FF6" w:rsidP="00747A44">
            <w:pPr>
              <w:jc w:val="center"/>
              <w:rPr>
                <w:rFonts w:ascii="Tw Cen MT" w:hAnsi="Tw Cen MT"/>
                <w:b/>
                <w:sz w:val="20"/>
                <w:szCs w:val="16"/>
                <w:lang w:val="es-MX"/>
              </w:rPr>
            </w:pPr>
            <w:r w:rsidRPr="00705957">
              <w:rPr>
                <w:rFonts w:ascii="Tw Cen MT" w:hAnsi="Tw Cen MT"/>
                <w:b/>
                <w:sz w:val="20"/>
                <w:szCs w:val="16"/>
                <w:lang w:val="es-MX"/>
              </w:rPr>
              <w:t>ABONO</w:t>
            </w:r>
          </w:p>
        </w:tc>
      </w:tr>
      <w:tr w:rsidR="00CA5FF6" w:rsidRPr="00F6581B" w:rsidTr="00747A44">
        <w:trPr>
          <w:trHeight w:val="5398"/>
        </w:trPr>
        <w:tc>
          <w:tcPr>
            <w:tcW w:w="734" w:type="dxa"/>
          </w:tcPr>
          <w:p w:rsidR="00CA5FF6" w:rsidRDefault="00CA5FF6" w:rsidP="00747A44">
            <w:pPr>
              <w:jc w:val="center"/>
              <w:rPr>
                <w:rFonts w:ascii="Tw Cen MT" w:hAnsi="Tw Cen MT"/>
                <w:b/>
                <w:sz w:val="20"/>
                <w:szCs w:val="16"/>
                <w:lang w:val="es-MX"/>
              </w:rPr>
            </w:pPr>
            <w:r>
              <w:rPr>
                <w:rFonts w:ascii="Tw Cen MT" w:hAnsi="Tw Cen MT"/>
                <w:b/>
                <w:sz w:val="20"/>
                <w:szCs w:val="16"/>
                <w:lang w:val="es-MX"/>
              </w:rPr>
              <w:t>1</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Pr="00785FC4" w:rsidRDefault="00CA5FF6" w:rsidP="00747A44">
            <w:pPr>
              <w:jc w:val="center"/>
              <w:rPr>
                <w:rFonts w:ascii="Tw Cen MT" w:hAnsi="Tw Cen MT"/>
                <w:b/>
                <w:sz w:val="20"/>
                <w:szCs w:val="20"/>
                <w:lang w:val="es-MX"/>
              </w:rPr>
            </w:pPr>
          </w:p>
          <w:p w:rsidR="00CA5FF6" w:rsidRPr="00C55325" w:rsidRDefault="00CA5FF6" w:rsidP="00747A44">
            <w:pPr>
              <w:jc w:val="center"/>
              <w:rPr>
                <w:rFonts w:ascii="Tw Cen MT" w:hAnsi="Tw Cen MT"/>
                <w:b/>
                <w:sz w:val="20"/>
                <w:szCs w:val="20"/>
                <w:lang w:val="es-MX"/>
              </w:rPr>
            </w:pPr>
          </w:p>
          <w:p w:rsidR="00CA5FF6" w:rsidRPr="004754F3" w:rsidRDefault="00CA5FF6" w:rsidP="00747A44">
            <w:pPr>
              <w:jc w:val="center"/>
              <w:rPr>
                <w:rFonts w:ascii="Tw Cen MT" w:hAnsi="Tw Cen MT"/>
                <w:b/>
                <w:sz w:val="20"/>
                <w:szCs w:val="20"/>
                <w:lang w:val="es-MX"/>
              </w:rPr>
            </w:pPr>
          </w:p>
          <w:p w:rsidR="00CA5FF6" w:rsidRPr="00C51142"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18"/>
                <w:szCs w:val="18"/>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2</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r>
              <w:rPr>
                <w:rFonts w:ascii="Tw Cen MT" w:hAnsi="Tw Cen MT"/>
                <w:b/>
                <w:sz w:val="20"/>
                <w:szCs w:val="16"/>
                <w:lang w:val="es-MX"/>
              </w:rPr>
              <w:t>3</w:t>
            </w:r>
          </w:p>
          <w:p w:rsidR="00CA5FF6" w:rsidRDefault="00CA5FF6" w:rsidP="00747A44">
            <w:pPr>
              <w:jc w:val="center"/>
              <w:rPr>
                <w:rFonts w:ascii="Tw Cen MT" w:hAnsi="Tw Cen MT"/>
                <w:b/>
                <w:sz w:val="20"/>
                <w:szCs w:val="16"/>
                <w:lang w:val="es-MX"/>
              </w:rPr>
            </w:pPr>
          </w:p>
          <w:p w:rsidR="00CA5FF6" w:rsidRDefault="00CA5FF6" w:rsidP="00747A44">
            <w:pPr>
              <w:jc w:val="center"/>
              <w:rPr>
                <w:rFonts w:ascii="Tw Cen MT" w:hAnsi="Tw Cen MT"/>
                <w:b/>
                <w:sz w:val="20"/>
                <w:szCs w:val="16"/>
                <w:lang w:val="es-MX"/>
              </w:rPr>
            </w:pPr>
          </w:p>
          <w:p w:rsidR="00CA5FF6" w:rsidRPr="00B068FF" w:rsidRDefault="00CA5FF6" w:rsidP="00747A44">
            <w:pPr>
              <w:jc w:val="center"/>
              <w:rPr>
                <w:rFonts w:ascii="Tw Cen MT" w:hAnsi="Tw Cen MT"/>
                <w:b/>
                <w:sz w:val="20"/>
                <w:szCs w:val="16"/>
                <w:lang w:val="es-MX"/>
              </w:rPr>
            </w:pPr>
            <w:r>
              <w:rPr>
                <w:rFonts w:ascii="Tw Cen MT" w:hAnsi="Tw Cen MT"/>
                <w:b/>
                <w:sz w:val="20"/>
                <w:szCs w:val="16"/>
                <w:lang w:val="es-MX"/>
              </w:rPr>
              <w:t>4</w:t>
            </w:r>
          </w:p>
        </w:tc>
        <w:tc>
          <w:tcPr>
            <w:tcW w:w="3684" w:type="dxa"/>
            <w:gridSpan w:val="3"/>
          </w:tcPr>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la adquisición de materiales de administración, emisión de documentos y artículos oficiales, tales como:</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-Materiales, útiles y equipos menores de oficina</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-Materiales y útiles de impresión y reproducción</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 estadístico y geográfico</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-Materiales, útiles y equipos menores de tecnologías de la información y comunicaciones</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 impreso e información digital</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 de limpieza</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-Materiales y útiles de enseñanza</w:t>
            </w: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-Materiales para el registro e identificación de bienes y personas</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 xml:space="preserve">Por la comprobación del fondo rotatorio o </w:t>
            </w:r>
            <w:proofErr w:type="spellStart"/>
            <w:r>
              <w:rPr>
                <w:rFonts w:ascii="Tw Cen MT" w:hAnsi="Tw Cen MT" w:cs="Calibri"/>
                <w:b/>
                <w:sz w:val="20"/>
                <w:szCs w:val="20"/>
                <w:lang w:val="es-MX"/>
              </w:rPr>
              <w:t>revolvente</w:t>
            </w:r>
            <w:proofErr w:type="spellEnd"/>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el anticipo a proveedores de bienes y servicios.</w:t>
            </w:r>
          </w:p>
          <w:p w:rsidR="00CA5FF6" w:rsidRDefault="00CA5FF6" w:rsidP="00747A44">
            <w:pPr>
              <w:rPr>
                <w:rFonts w:ascii="Tw Cen MT" w:hAnsi="Tw Cen MT" w:cs="Calibri"/>
                <w:b/>
                <w:sz w:val="20"/>
                <w:szCs w:val="20"/>
                <w:lang w:val="es-MX"/>
              </w:rPr>
            </w:pPr>
          </w:p>
          <w:p w:rsidR="00CA5FF6" w:rsidRDefault="00CA5FF6" w:rsidP="00747A44">
            <w:pPr>
              <w:rPr>
                <w:rFonts w:ascii="Tw Cen MT" w:hAnsi="Tw Cen MT" w:cs="Calibri"/>
                <w:b/>
                <w:sz w:val="20"/>
                <w:szCs w:val="20"/>
                <w:lang w:val="es-MX"/>
              </w:rPr>
            </w:pPr>
            <w:r>
              <w:rPr>
                <w:rFonts w:ascii="Tw Cen MT" w:hAnsi="Tw Cen MT" w:cs="Calibri"/>
                <w:b/>
                <w:sz w:val="20"/>
                <w:szCs w:val="20"/>
                <w:lang w:val="es-MX"/>
              </w:rPr>
              <w:t>Por la aplicación de anticipos a proveedores por la adquisición de materiales de administración, emisión de documentos y artículos oficiales.</w:t>
            </w:r>
          </w:p>
          <w:p w:rsidR="00CA5FF6" w:rsidRDefault="00CA5FF6" w:rsidP="00747A44">
            <w:pPr>
              <w:rPr>
                <w:rFonts w:ascii="Tw Cen MT" w:hAnsi="Tw Cen MT" w:cs="Calibri"/>
                <w:b/>
                <w:sz w:val="20"/>
                <w:szCs w:val="20"/>
                <w:lang w:val="es-MX"/>
              </w:rPr>
            </w:pPr>
          </w:p>
          <w:p w:rsidR="00CA5FF6" w:rsidRPr="0029379B" w:rsidRDefault="00CA5FF6" w:rsidP="00747A44">
            <w:pPr>
              <w:rPr>
                <w:rFonts w:ascii="Tw Cen MT" w:hAnsi="Tw Cen MT" w:cs="Calibri"/>
                <w:b/>
                <w:sz w:val="20"/>
                <w:szCs w:val="20"/>
                <w:lang w:val="es-MX"/>
              </w:rPr>
            </w:pPr>
          </w:p>
        </w:tc>
        <w:tc>
          <w:tcPr>
            <w:tcW w:w="827" w:type="dxa"/>
          </w:tcPr>
          <w:p w:rsidR="00CA5FF6" w:rsidRDefault="00CA5FF6" w:rsidP="00747A44">
            <w:pPr>
              <w:jc w:val="center"/>
              <w:rPr>
                <w:rFonts w:ascii="Tw Cen MT" w:hAnsi="Tw Cen MT"/>
                <w:b/>
                <w:sz w:val="20"/>
                <w:szCs w:val="20"/>
                <w:lang w:val="es-MX"/>
              </w:rPr>
            </w:pPr>
            <w:r>
              <w:rPr>
                <w:rFonts w:ascii="Tw Cen MT" w:hAnsi="Tw Cen MT"/>
                <w:b/>
                <w:sz w:val="20"/>
                <w:szCs w:val="20"/>
                <w:lang w:val="es-MX"/>
              </w:rPr>
              <w:t>1</w:t>
            </w: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r>
              <w:rPr>
                <w:rFonts w:ascii="Tw Cen MT" w:hAnsi="Tw Cen MT"/>
                <w:b/>
                <w:sz w:val="20"/>
                <w:szCs w:val="20"/>
                <w:lang w:val="es-MX"/>
              </w:rPr>
              <w:t>2</w:t>
            </w: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r>
              <w:rPr>
                <w:rFonts w:ascii="Tw Cen MT" w:hAnsi="Tw Cen MT"/>
                <w:b/>
                <w:sz w:val="20"/>
                <w:szCs w:val="20"/>
                <w:lang w:val="es-MX"/>
              </w:rPr>
              <w:t>3</w:t>
            </w: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Default="00CA5FF6" w:rsidP="00747A44">
            <w:pPr>
              <w:jc w:val="center"/>
              <w:rPr>
                <w:rFonts w:ascii="Tw Cen MT" w:hAnsi="Tw Cen MT"/>
                <w:b/>
                <w:sz w:val="20"/>
                <w:szCs w:val="20"/>
                <w:lang w:val="es-MX"/>
              </w:rPr>
            </w:pPr>
          </w:p>
          <w:p w:rsidR="00CA5FF6" w:rsidRPr="00125206" w:rsidRDefault="00CA5FF6" w:rsidP="00747A44">
            <w:pPr>
              <w:jc w:val="center"/>
              <w:rPr>
                <w:rFonts w:ascii="Tw Cen MT" w:hAnsi="Tw Cen MT"/>
                <w:b/>
                <w:sz w:val="20"/>
                <w:szCs w:val="20"/>
                <w:lang w:val="es-MX"/>
              </w:rPr>
            </w:pPr>
          </w:p>
        </w:tc>
        <w:tc>
          <w:tcPr>
            <w:tcW w:w="4352" w:type="dxa"/>
            <w:gridSpan w:val="2"/>
          </w:tcPr>
          <w:p w:rsidR="00CA5FF6" w:rsidRDefault="00CA5FF6" w:rsidP="00747A44">
            <w:pPr>
              <w:rPr>
                <w:rFonts w:ascii="Tw Cen MT" w:hAnsi="Tw Cen MT"/>
                <w:b/>
                <w:sz w:val="20"/>
                <w:szCs w:val="20"/>
                <w:lang w:val="es-MX"/>
              </w:rPr>
            </w:pPr>
            <w:r>
              <w:rPr>
                <w:rFonts w:ascii="Tw Cen MT" w:hAnsi="Tw Cen MT"/>
                <w:b/>
                <w:sz w:val="20"/>
                <w:szCs w:val="20"/>
                <w:lang w:val="es-MX"/>
              </w:rPr>
              <w:t>Por la reclasificación de anticipos a proveedores por adquisición de bienes a corto plazo.</w:t>
            </w:r>
          </w:p>
          <w:p w:rsidR="00CA5FF6" w:rsidRDefault="00CA5FF6" w:rsidP="00747A44">
            <w:pPr>
              <w:rPr>
                <w:rFonts w:ascii="Tw Cen MT" w:hAnsi="Tw Cen MT"/>
                <w:b/>
                <w:sz w:val="20"/>
                <w:szCs w:val="20"/>
                <w:lang w:val="es-MX"/>
              </w:rPr>
            </w:pPr>
          </w:p>
          <w:p w:rsidR="00CA5FF6" w:rsidRDefault="00CA5FF6" w:rsidP="00747A44">
            <w:pPr>
              <w:rPr>
                <w:rFonts w:ascii="Tw Cen MT" w:hAnsi="Tw Cen MT"/>
                <w:b/>
                <w:sz w:val="20"/>
                <w:szCs w:val="20"/>
                <w:lang w:val="es-MX"/>
              </w:rPr>
            </w:pPr>
            <w:r>
              <w:rPr>
                <w:rFonts w:ascii="Tw Cen MT" w:hAnsi="Tw Cen MT"/>
                <w:b/>
                <w:sz w:val="20"/>
                <w:szCs w:val="20"/>
                <w:lang w:val="es-MX"/>
              </w:rPr>
              <w:t>Por la devolución de materiales de administración, emisión de documentos y artículos oficiales.</w:t>
            </w:r>
          </w:p>
          <w:p w:rsidR="00CA5FF6" w:rsidRDefault="00CA5FF6" w:rsidP="00747A44">
            <w:pPr>
              <w:rPr>
                <w:rFonts w:ascii="Tw Cen MT" w:hAnsi="Tw Cen MT"/>
                <w:b/>
                <w:sz w:val="20"/>
                <w:szCs w:val="20"/>
                <w:lang w:val="es-MX"/>
              </w:rPr>
            </w:pPr>
          </w:p>
          <w:p w:rsidR="00CA5FF6" w:rsidRPr="00F6581B" w:rsidRDefault="00CA5FF6" w:rsidP="00747A44">
            <w:pPr>
              <w:rPr>
                <w:rFonts w:ascii="Tw Cen MT" w:hAnsi="Tw Cen MT"/>
                <w:b/>
                <w:sz w:val="20"/>
                <w:szCs w:val="20"/>
                <w:lang w:val="es-MX"/>
              </w:rPr>
            </w:pPr>
            <w:r>
              <w:rPr>
                <w:rFonts w:ascii="Tw Cen MT" w:hAnsi="Tw Cen MT"/>
                <w:b/>
                <w:sz w:val="20"/>
                <w:szCs w:val="20"/>
                <w:lang w:val="es-MX"/>
              </w:rPr>
              <w:t>Al cierre del ejercicio por el traspaso del saldo deudor de esta cuenta a la 6.1 Resumen de Ingresos y Gastos.</w:t>
            </w:r>
          </w:p>
        </w:tc>
      </w:tr>
      <w:tr w:rsidR="00CA5FF6" w:rsidRPr="00705957" w:rsidTr="00747A44">
        <w:trPr>
          <w:trHeight w:val="631"/>
        </w:trPr>
        <w:tc>
          <w:tcPr>
            <w:tcW w:w="9597" w:type="dxa"/>
            <w:gridSpan w:val="7"/>
          </w:tcPr>
          <w:p w:rsidR="00CA5FF6" w:rsidRDefault="00CA5FF6" w:rsidP="00747A44">
            <w:pPr>
              <w:rPr>
                <w:rFonts w:ascii="Tw Cen MT" w:hAnsi="Tw Cen MT"/>
                <w:b/>
                <w:sz w:val="20"/>
                <w:szCs w:val="16"/>
                <w:lang w:val="es-MX"/>
              </w:rPr>
            </w:pPr>
            <w:r>
              <w:rPr>
                <w:rFonts w:ascii="Tw Cen MT" w:hAnsi="Tw Cen MT"/>
                <w:b/>
                <w:sz w:val="20"/>
                <w:szCs w:val="16"/>
                <w:lang w:val="es-MX"/>
              </w:rPr>
              <w:t>SU SALDO REPRESENTA</w:t>
            </w:r>
          </w:p>
          <w:p w:rsidR="00CA5FF6" w:rsidRPr="00705957" w:rsidRDefault="00CA5FF6" w:rsidP="00747A44">
            <w:pPr>
              <w:rPr>
                <w:rFonts w:ascii="Tw Cen MT" w:hAnsi="Tw Cen MT"/>
                <w:b/>
                <w:sz w:val="20"/>
                <w:szCs w:val="16"/>
                <w:lang w:val="es-MX"/>
              </w:rPr>
            </w:pPr>
            <w:r>
              <w:rPr>
                <w:rFonts w:ascii="Tw Cen MT" w:hAnsi="Tw Cen MT"/>
                <w:b/>
                <w:sz w:val="20"/>
                <w:szCs w:val="16"/>
                <w:lang w:val="es-MX"/>
              </w:rPr>
              <w:t>Importe del gasto por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tc>
      </w:tr>
      <w:tr w:rsidR="00CA5FF6" w:rsidRPr="00705957" w:rsidTr="00747A44">
        <w:trPr>
          <w:trHeight w:val="458"/>
        </w:trPr>
        <w:tc>
          <w:tcPr>
            <w:tcW w:w="9597" w:type="dxa"/>
            <w:gridSpan w:val="7"/>
          </w:tcPr>
          <w:p w:rsidR="00CA5FF6" w:rsidRPr="00705957" w:rsidRDefault="00CA5FF6" w:rsidP="00747A44">
            <w:pPr>
              <w:rPr>
                <w:rFonts w:ascii="Tw Cen MT" w:hAnsi="Tw Cen MT"/>
                <w:b/>
                <w:sz w:val="20"/>
                <w:szCs w:val="16"/>
                <w:lang w:val="es-MX"/>
              </w:rPr>
            </w:pPr>
            <w:r w:rsidRPr="00705957">
              <w:rPr>
                <w:rFonts w:ascii="Tw Cen MT" w:hAnsi="Tw Cen MT"/>
                <w:b/>
                <w:sz w:val="20"/>
                <w:szCs w:val="16"/>
                <w:lang w:val="es-MX"/>
              </w:rPr>
              <w:t>OBSERVACIONES</w:t>
            </w:r>
          </w:p>
          <w:p w:rsidR="00CA5FF6" w:rsidRDefault="00CA5FF6" w:rsidP="00747A44">
            <w:pPr>
              <w:rPr>
                <w:rFonts w:ascii="Tw Cen MT" w:hAnsi="Tw Cen MT"/>
                <w:b/>
                <w:sz w:val="20"/>
                <w:szCs w:val="16"/>
                <w:lang w:val="es-MX"/>
              </w:rPr>
            </w:pPr>
            <w:r>
              <w:rPr>
                <w:rFonts w:ascii="Tw Cen MT" w:hAnsi="Tw Cen MT"/>
                <w:b/>
                <w:sz w:val="20"/>
                <w:szCs w:val="16"/>
                <w:lang w:val="es-MX"/>
              </w:rPr>
              <w:t>Se llevará auxiliar por tipo de material, de conformidad con el concepto 2100 del clasificador por objeto del gasto, partidas 211 a 218</w:t>
            </w:r>
          </w:p>
          <w:p w:rsidR="00CA5FF6" w:rsidRDefault="00CA5FF6" w:rsidP="00747A44">
            <w:pPr>
              <w:rPr>
                <w:rFonts w:ascii="Tw Cen MT" w:hAnsi="Tw Cen MT"/>
                <w:b/>
                <w:sz w:val="20"/>
                <w:szCs w:val="16"/>
                <w:lang w:val="es-MX"/>
              </w:rPr>
            </w:pPr>
            <w:r>
              <w:rPr>
                <w:rFonts w:ascii="Tw Cen MT" w:hAnsi="Tw Cen MT"/>
                <w:b/>
                <w:sz w:val="20"/>
                <w:szCs w:val="16"/>
                <w:lang w:val="es-MX"/>
              </w:rPr>
              <w:t>*Por el registro de anticipos presupuestarios.</w:t>
            </w:r>
          </w:p>
          <w:p w:rsidR="00CA5FF6" w:rsidRPr="00705957" w:rsidRDefault="00CA5FF6" w:rsidP="00747A44">
            <w:pPr>
              <w:rPr>
                <w:rFonts w:ascii="Tw Cen MT" w:hAnsi="Tw Cen MT"/>
                <w:b/>
                <w:sz w:val="20"/>
                <w:szCs w:val="16"/>
                <w:lang w:val="es-MX"/>
              </w:rPr>
            </w:pPr>
          </w:p>
        </w:tc>
      </w:tr>
    </w:tbl>
    <w:p w:rsidR="00A647EF" w:rsidRDefault="00A647EF" w:rsidP="00CB0E8E">
      <w:pPr>
        <w:jc w:val="both"/>
        <w:rPr>
          <w:rFonts w:ascii="Arial Narrow" w:hAnsi="Arial Narrow" w:cs="Arial"/>
          <w:b/>
          <w:sz w:val="28"/>
          <w:szCs w:val="28"/>
          <w:lang w:val="es-MX" w:eastAsia="es-MX"/>
        </w:rPr>
      </w:pPr>
    </w:p>
    <w:p w:rsidR="00CA5FF6" w:rsidRDefault="00CA5FF6" w:rsidP="00CB0E8E">
      <w:pPr>
        <w:jc w:val="both"/>
        <w:rPr>
          <w:rFonts w:ascii="Arial Narrow" w:hAnsi="Arial Narrow" w:cs="Arial"/>
          <w:b/>
          <w:sz w:val="28"/>
          <w:szCs w:val="28"/>
          <w:lang w:val="es-MX" w:eastAsia="es-MX"/>
        </w:rPr>
      </w:pPr>
    </w:p>
    <w:p w:rsidR="00CA5FF6" w:rsidRDefault="00CA5FF6" w:rsidP="00CB0E8E">
      <w:pPr>
        <w:jc w:val="both"/>
        <w:rPr>
          <w:rFonts w:ascii="Arial Narrow" w:hAnsi="Arial Narrow" w:cs="Arial"/>
          <w:b/>
          <w:sz w:val="28"/>
          <w:szCs w:val="28"/>
          <w:lang w:val="es-MX" w:eastAsia="es-MX"/>
        </w:rPr>
      </w:pPr>
    </w:p>
    <w:p w:rsidR="00CA5FF6" w:rsidRDefault="008B662E" w:rsidP="00CB0E8E">
      <w:pPr>
        <w:jc w:val="both"/>
        <w:rPr>
          <w:rFonts w:ascii="Arial Narrow" w:hAnsi="Arial Narrow" w:cs="Arial"/>
          <w:b/>
          <w:sz w:val="28"/>
          <w:szCs w:val="28"/>
          <w:lang w:val="es-MX" w:eastAsia="es-MX"/>
        </w:rPr>
      </w:pPr>
      <w:r>
        <w:rPr>
          <w:rFonts w:ascii="Arial Narrow" w:hAnsi="Arial Narrow" w:cs="Arial"/>
          <w:b/>
          <w:sz w:val="28"/>
          <w:szCs w:val="28"/>
          <w:lang w:val="es-MX" w:eastAsia="es-MX"/>
        </w:rPr>
        <w:lastRenderedPageBreak/>
        <w:t xml:space="preserve"> MODELOS DE ASIENTO CONTABLES</w:t>
      </w:r>
    </w:p>
    <w:p w:rsidR="00CA5FF6" w:rsidRPr="00227780" w:rsidRDefault="00CA5FF6" w:rsidP="00CB0E8E">
      <w:pPr>
        <w:jc w:val="both"/>
        <w:rPr>
          <w:rFonts w:ascii="Arial Narrow" w:hAnsi="Arial Narrow" w:cs="Arial"/>
          <w:b/>
          <w:sz w:val="28"/>
          <w:szCs w:val="28"/>
          <w:lang w:val="es-MX" w:eastAsia="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b/>
          <w:sz w:val="26"/>
          <w:szCs w:val="26"/>
          <w:lang w:val="es-MX"/>
        </w:rPr>
        <w:t xml:space="preserve">     </w:t>
      </w:r>
      <w:r w:rsidRPr="009B7075">
        <w:rPr>
          <w:rFonts w:ascii="Arial Narrow" w:hAnsi="Arial Narrow" w:cs="Arial"/>
          <w:b/>
          <w:sz w:val="26"/>
          <w:szCs w:val="26"/>
          <w:lang w:val="es-MX"/>
        </w:rPr>
        <w:t>Las transacciones  que afectan a los entes deben ser objeto de registro contable en asientos por partida doble con utilización de las cuentas que corresponden según la naturaleza de las operaciones respaldadas por los documentos que las originan (Documento Fuente del Asiento).</w:t>
      </w:r>
    </w:p>
    <w:p w:rsidR="009B7075" w:rsidRPr="009B7075" w:rsidRDefault="009B7075"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El modelo de asientos que presenta el Manual del CONAC tiene como propósito disponer de una guía orientadora sobre como registrar los hechos económico-financieros que reflejan, en líneas generales, la actividad del ente y contempla las transacciones que se dan en forma habitual y recurrente.</w:t>
      </w: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w:t>
      </w: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En el modelo presentado por el CONAC se han tenido en cuenta las disposiciones legales y reglamentarias vigentes, en especial las que derivan de la Ley General de Contabilidad Gubernamental y Acuerdos emitidos por el propio Consejo Nacional de Armonización Contable (CONAC) a la fecha, con atención a las normas contables y a la normativa internacional sobre contabilidad gubernamental.</w:t>
      </w:r>
    </w:p>
    <w:p w:rsidR="00C86D4C" w:rsidRPr="009B7075" w:rsidRDefault="00C86D4C"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Las transacciones incluidas en el modelo de asientos de concentraron en grandes grupos:</w:t>
      </w:r>
    </w:p>
    <w:p w:rsidR="009B7075" w:rsidRPr="009B7075" w:rsidRDefault="009B7075"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I.     Asiento de Apertura</w:t>
      </w:r>
    </w:p>
    <w:p w:rsidR="009B7075" w:rsidRPr="009B7075" w:rsidRDefault="009B7075"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II.    Operaciones relacionadas con el ejercicio de la Ley de Ingresos</w:t>
      </w:r>
    </w:p>
    <w:p w:rsidR="009B7075" w:rsidRPr="009B7075" w:rsidRDefault="009B7075"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III.   Operaciones relacionadas con el ejercicio del decreto de Presupuesto de Egresos</w:t>
      </w:r>
    </w:p>
    <w:p w:rsidR="009B7075" w:rsidRPr="009B7075" w:rsidRDefault="009B7075" w:rsidP="00C86D4C">
      <w:pPr>
        <w:jc w:val="both"/>
        <w:rPr>
          <w:rFonts w:ascii="Arial Narrow" w:hAnsi="Arial Narrow" w:cs="Arial"/>
          <w:b/>
          <w:sz w:val="26"/>
          <w:szCs w:val="26"/>
          <w:lang w:val="es-MX"/>
        </w:rPr>
      </w:pPr>
    </w:p>
    <w:p w:rsidR="009B7075"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IV.   Operaciones extrapresupuestarias relacionadas con la Ley de Ingresos y el ejercicio del Presupuesto de Egresos </w:t>
      </w:r>
    </w:p>
    <w:p w:rsidR="00C86D4C" w:rsidRPr="009B7075" w:rsidRDefault="00C86D4C"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V.    Operaciones extrapresupuestarias no  relacionadas con la Ley de Ingresos y el ejercicio del Presupuesto de Egresos </w:t>
      </w: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w:t>
      </w: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VII.   Cuentas de Orden</w:t>
      </w:r>
    </w:p>
    <w:p w:rsidR="009B7075" w:rsidRPr="009B7075" w:rsidRDefault="009B7075" w:rsidP="00C86D4C">
      <w:pPr>
        <w:jc w:val="both"/>
        <w:rPr>
          <w:rFonts w:ascii="Arial Narrow" w:hAnsi="Arial Narrow" w:cs="Arial"/>
          <w:b/>
          <w:sz w:val="26"/>
          <w:szCs w:val="26"/>
          <w:lang w:val="es-MX"/>
        </w:rPr>
      </w:pPr>
    </w:p>
    <w:p w:rsidR="00C86D4C" w:rsidRPr="009B7075" w:rsidRDefault="00C86D4C" w:rsidP="00C86D4C">
      <w:pPr>
        <w:jc w:val="both"/>
        <w:rPr>
          <w:rFonts w:ascii="Arial Narrow" w:hAnsi="Arial Narrow" w:cs="Arial"/>
          <w:b/>
          <w:sz w:val="26"/>
          <w:szCs w:val="26"/>
          <w:lang w:val="es-MX"/>
        </w:rPr>
      </w:pPr>
      <w:r w:rsidRPr="009B7075">
        <w:rPr>
          <w:rFonts w:ascii="Arial Narrow" w:hAnsi="Arial Narrow" w:cs="Arial"/>
          <w:b/>
          <w:sz w:val="26"/>
          <w:szCs w:val="26"/>
          <w:lang w:val="es-MX"/>
        </w:rPr>
        <w:t xml:space="preserve">    VIII.  Operaciones de Cierre del Ejercicio Patrimoniales y Presupuestarias</w:t>
      </w:r>
    </w:p>
    <w:p w:rsidR="00C86D4C" w:rsidRPr="009B7075" w:rsidRDefault="00C86D4C" w:rsidP="00C86D4C">
      <w:pPr>
        <w:jc w:val="both"/>
        <w:rPr>
          <w:rFonts w:ascii="Arial Narrow" w:hAnsi="Arial Narrow" w:cs="Arial"/>
          <w:b/>
          <w:sz w:val="26"/>
          <w:szCs w:val="26"/>
          <w:lang w:val="es-MX"/>
        </w:rPr>
      </w:pPr>
    </w:p>
    <w:p w:rsidR="009A176E" w:rsidRPr="009B7075" w:rsidRDefault="009A176E" w:rsidP="00CB0E8E">
      <w:pPr>
        <w:jc w:val="both"/>
        <w:rPr>
          <w:rFonts w:ascii="Arial Narrow" w:hAnsi="Arial Narrow" w:cs="Arial"/>
          <w:b/>
          <w:sz w:val="26"/>
          <w:szCs w:val="26"/>
          <w:lang w:val="es-MX" w:eastAsia="es-MX"/>
        </w:rPr>
      </w:pPr>
    </w:p>
    <w:p w:rsidR="009A176E" w:rsidRPr="006937AB" w:rsidRDefault="006937AB" w:rsidP="00CB0E8E">
      <w:pPr>
        <w:jc w:val="both"/>
        <w:rPr>
          <w:rFonts w:cs="Calibri"/>
          <w:sz w:val="28"/>
          <w:szCs w:val="28"/>
          <w:lang w:val="es-MX" w:eastAsia="es-MX"/>
        </w:rPr>
      </w:pPr>
      <w:r w:rsidRPr="006937AB">
        <w:rPr>
          <w:rFonts w:cs="Calibri"/>
          <w:sz w:val="28"/>
          <w:szCs w:val="28"/>
          <w:lang w:val="es-MX" w:eastAsia="es-MX"/>
        </w:rPr>
        <w:t>A continuación se presentan algunos ejemplos de modelos de asientos</w:t>
      </w:r>
      <w:r>
        <w:rPr>
          <w:rFonts w:cs="Calibri"/>
          <w:sz w:val="28"/>
          <w:szCs w:val="28"/>
          <w:lang w:val="es-MX" w:eastAsia="es-MX"/>
        </w:rPr>
        <w:t xml:space="preserve"> de operaciones relacionadas con el ejercicio de la Ley de Ingresos, de operaciones relacionadas con el ejercicio del presupuesto de egresos, y de cuentas de orden.</w:t>
      </w:r>
    </w:p>
    <w:p w:rsidR="009B7075" w:rsidRPr="006937AB" w:rsidRDefault="009B7075" w:rsidP="00CB0E8E">
      <w:pPr>
        <w:jc w:val="both"/>
        <w:rPr>
          <w:rFonts w:cs="Calibri"/>
          <w:sz w:val="28"/>
          <w:szCs w:val="28"/>
          <w:lang w:val="es-MX" w:eastAsia="es-MX"/>
        </w:rPr>
      </w:pPr>
    </w:p>
    <w:p w:rsidR="00CA0A96" w:rsidRDefault="00CA0A96" w:rsidP="00CB0E8E">
      <w:pPr>
        <w:jc w:val="both"/>
        <w:rPr>
          <w:rFonts w:cs="Calibri"/>
          <w:b/>
          <w:sz w:val="32"/>
          <w:szCs w:val="32"/>
          <w:lang w:val="es-MX" w:eastAsia="es-MX"/>
        </w:rPr>
      </w:pPr>
      <w:r w:rsidRPr="00CA0A96">
        <w:rPr>
          <w:noProof/>
          <w:szCs w:val="32"/>
          <w:lang w:val="es-MX" w:eastAsia="es-MX"/>
        </w:rPr>
        <w:drawing>
          <wp:inline distT="0" distB="0" distL="0" distR="0">
            <wp:extent cx="5940425" cy="5631488"/>
            <wp:effectExtent l="1905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srcRect/>
                    <a:stretch>
                      <a:fillRect/>
                    </a:stretch>
                  </pic:blipFill>
                  <pic:spPr bwMode="auto">
                    <a:xfrm>
                      <a:off x="0" y="0"/>
                      <a:ext cx="5940425" cy="5631488"/>
                    </a:xfrm>
                    <a:prstGeom prst="rect">
                      <a:avLst/>
                    </a:prstGeom>
                    <a:noFill/>
                    <a:ln w="9525">
                      <a:noFill/>
                      <a:miter lim="800000"/>
                      <a:headEnd/>
                      <a:tailEnd/>
                    </a:ln>
                  </pic:spPr>
                </pic:pic>
              </a:graphicData>
            </a:graphic>
          </wp:inline>
        </w:drawing>
      </w:r>
    </w:p>
    <w:p w:rsidR="009B7075" w:rsidRDefault="00CA0A96" w:rsidP="00CB0E8E">
      <w:pPr>
        <w:jc w:val="both"/>
        <w:rPr>
          <w:rFonts w:cs="Calibri"/>
          <w:b/>
          <w:sz w:val="32"/>
          <w:szCs w:val="32"/>
          <w:lang w:val="es-MX" w:eastAsia="es-MX"/>
        </w:rPr>
      </w:pPr>
      <w:r w:rsidRPr="00CA0A96">
        <w:rPr>
          <w:noProof/>
          <w:szCs w:val="32"/>
          <w:lang w:val="es-MX" w:eastAsia="es-MX"/>
        </w:rPr>
        <w:lastRenderedPageBreak/>
        <w:drawing>
          <wp:inline distT="0" distB="0" distL="0" distR="0">
            <wp:extent cx="5940425" cy="7553330"/>
            <wp:effectExtent l="1905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a:srcRect/>
                    <a:stretch>
                      <a:fillRect/>
                    </a:stretch>
                  </pic:blipFill>
                  <pic:spPr bwMode="auto">
                    <a:xfrm>
                      <a:off x="0" y="0"/>
                      <a:ext cx="5940425" cy="7553330"/>
                    </a:xfrm>
                    <a:prstGeom prst="rect">
                      <a:avLst/>
                    </a:prstGeom>
                    <a:noFill/>
                    <a:ln w="9525">
                      <a:noFill/>
                      <a:miter lim="800000"/>
                      <a:headEnd/>
                      <a:tailEnd/>
                    </a:ln>
                  </pic:spPr>
                </pic:pic>
              </a:graphicData>
            </a:graphic>
          </wp:inline>
        </w:drawing>
      </w:r>
    </w:p>
    <w:p w:rsidR="009A176E" w:rsidRDefault="009B7075" w:rsidP="00CB0E8E">
      <w:pPr>
        <w:jc w:val="both"/>
        <w:rPr>
          <w:rFonts w:cs="Calibri"/>
          <w:b/>
          <w:sz w:val="32"/>
          <w:szCs w:val="32"/>
          <w:lang w:val="es-MX" w:eastAsia="es-MX"/>
        </w:rPr>
      </w:pPr>
      <w:r w:rsidRPr="009B7075">
        <w:rPr>
          <w:noProof/>
          <w:szCs w:val="32"/>
          <w:lang w:val="es-MX" w:eastAsia="es-MX"/>
        </w:rPr>
        <w:lastRenderedPageBreak/>
        <w:drawing>
          <wp:inline distT="0" distB="0" distL="0" distR="0">
            <wp:extent cx="5940425" cy="6911371"/>
            <wp:effectExtent l="1905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a:srcRect/>
                    <a:stretch>
                      <a:fillRect/>
                    </a:stretch>
                  </pic:blipFill>
                  <pic:spPr bwMode="auto">
                    <a:xfrm>
                      <a:off x="0" y="0"/>
                      <a:ext cx="5940425" cy="6911371"/>
                    </a:xfrm>
                    <a:prstGeom prst="rect">
                      <a:avLst/>
                    </a:prstGeom>
                    <a:noFill/>
                    <a:ln w="9525">
                      <a:noFill/>
                      <a:miter lim="800000"/>
                      <a:headEnd/>
                      <a:tailEnd/>
                    </a:ln>
                  </pic:spPr>
                </pic:pic>
              </a:graphicData>
            </a:graphic>
          </wp:inline>
        </w:drawing>
      </w:r>
    </w:p>
    <w:p w:rsidR="009A176E" w:rsidRDefault="009B7075" w:rsidP="00CB0E8E">
      <w:pPr>
        <w:jc w:val="both"/>
        <w:rPr>
          <w:rFonts w:cs="Calibri"/>
          <w:b/>
          <w:sz w:val="32"/>
          <w:szCs w:val="32"/>
          <w:lang w:val="es-MX" w:eastAsia="es-MX"/>
        </w:rPr>
      </w:pPr>
      <w:r w:rsidRPr="009B7075">
        <w:rPr>
          <w:noProof/>
          <w:szCs w:val="32"/>
          <w:lang w:val="es-MX" w:eastAsia="es-MX"/>
        </w:rPr>
        <w:lastRenderedPageBreak/>
        <w:drawing>
          <wp:inline distT="0" distB="0" distL="0" distR="0">
            <wp:extent cx="5940425" cy="7635167"/>
            <wp:effectExtent l="1905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srcRect/>
                    <a:stretch>
                      <a:fillRect/>
                    </a:stretch>
                  </pic:blipFill>
                  <pic:spPr bwMode="auto">
                    <a:xfrm>
                      <a:off x="0" y="0"/>
                      <a:ext cx="5940425" cy="7635167"/>
                    </a:xfrm>
                    <a:prstGeom prst="rect">
                      <a:avLst/>
                    </a:prstGeom>
                    <a:noFill/>
                    <a:ln w="9525">
                      <a:noFill/>
                      <a:miter lim="800000"/>
                      <a:headEnd/>
                      <a:tailEnd/>
                    </a:ln>
                  </pic:spPr>
                </pic:pic>
              </a:graphicData>
            </a:graphic>
          </wp:inline>
        </w:drawing>
      </w:r>
    </w:p>
    <w:p w:rsidR="009A176E" w:rsidRDefault="009B7075" w:rsidP="00CB0E8E">
      <w:pPr>
        <w:jc w:val="both"/>
        <w:rPr>
          <w:rFonts w:cs="Calibri"/>
          <w:b/>
          <w:sz w:val="32"/>
          <w:szCs w:val="32"/>
          <w:lang w:val="es-MX" w:eastAsia="es-MX"/>
        </w:rPr>
      </w:pPr>
      <w:r w:rsidRPr="009B7075">
        <w:rPr>
          <w:noProof/>
          <w:szCs w:val="32"/>
          <w:lang w:val="es-MX" w:eastAsia="es-MX"/>
        </w:rPr>
        <w:lastRenderedPageBreak/>
        <w:drawing>
          <wp:inline distT="0" distB="0" distL="0" distR="0">
            <wp:extent cx="5940425" cy="5596180"/>
            <wp:effectExtent l="1905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srcRect/>
                    <a:stretch>
                      <a:fillRect/>
                    </a:stretch>
                  </pic:blipFill>
                  <pic:spPr bwMode="auto">
                    <a:xfrm>
                      <a:off x="0" y="0"/>
                      <a:ext cx="5940425" cy="5596180"/>
                    </a:xfrm>
                    <a:prstGeom prst="rect">
                      <a:avLst/>
                    </a:prstGeom>
                    <a:noFill/>
                    <a:ln w="9525">
                      <a:noFill/>
                      <a:miter lim="800000"/>
                      <a:headEnd/>
                      <a:tailEnd/>
                    </a:ln>
                  </pic:spPr>
                </pic:pic>
              </a:graphicData>
            </a:graphic>
          </wp:inline>
        </w:drawing>
      </w: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9A176E" w:rsidRDefault="009A176E" w:rsidP="00CB0E8E">
      <w:pPr>
        <w:jc w:val="both"/>
        <w:rPr>
          <w:rFonts w:cs="Calibri"/>
          <w:b/>
          <w:sz w:val="32"/>
          <w:szCs w:val="32"/>
          <w:lang w:val="es-MX" w:eastAsia="es-MX"/>
        </w:rPr>
      </w:pPr>
    </w:p>
    <w:p w:rsidR="006937AB" w:rsidRDefault="006937AB" w:rsidP="00CB0E8E">
      <w:pPr>
        <w:jc w:val="both"/>
        <w:rPr>
          <w:rFonts w:cs="Calibri"/>
          <w:b/>
          <w:sz w:val="32"/>
          <w:szCs w:val="32"/>
          <w:lang w:val="es-MX" w:eastAsia="es-MX"/>
        </w:rPr>
      </w:pPr>
    </w:p>
    <w:p w:rsidR="006937AB" w:rsidRDefault="006937AB" w:rsidP="00CB0E8E">
      <w:pPr>
        <w:jc w:val="both"/>
        <w:rPr>
          <w:rFonts w:cs="Calibri"/>
          <w:b/>
          <w:sz w:val="32"/>
          <w:szCs w:val="32"/>
          <w:lang w:val="es-MX" w:eastAsia="es-MX"/>
        </w:rPr>
      </w:pPr>
    </w:p>
    <w:p w:rsidR="006937AB" w:rsidRDefault="006937AB" w:rsidP="00CB0E8E">
      <w:pPr>
        <w:jc w:val="both"/>
        <w:rPr>
          <w:rFonts w:cs="Calibri"/>
          <w:b/>
          <w:sz w:val="32"/>
          <w:szCs w:val="32"/>
          <w:lang w:val="es-MX" w:eastAsia="es-MX"/>
        </w:rPr>
      </w:pPr>
    </w:p>
    <w:p w:rsidR="006937AB" w:rsidRPr="00535A7A" w:rsidRDefault="006937AB" w:rsidP="00CB0E8E">
      <w:pPr>
        <w:jc w:val="both"/>
        <w:rPr>
          <w:rFonts w:cs="Calibri"/>
          <w:b/>
          <w:lang w:val="es-MX" w:eastAsia="es-MX"/>
        </w:rPr>
      </w:pPr>
      <w:r w:rsidRPr="00535A7A">
        <w:rPr>
          <w:rFonts w:cs="Calibri"/>
          <w:b/>
          <w:lang w:val="es-MX" w:eastAsia="es-MX"/>
        </w:rPr>
        <w:lastRenderedPageBreak/>
        <w:t>Para el registro contable-presupuestario de los ingresos deberán utilizarse las cuentas de orden presupuestarias. A manera de ejemplo se presenta el registro contable presupuestal</w:t>
      </w:r>
      <w:r w:rsidR="00535A7A" w:rsidRPr="00535A7A">
        <w:rPr>
          <w:rFonts w:cs="Calibri"/>
          <w:b/>
          <w:lang w:val="es-MX" w:eastAsia="es-MX"/>
        </w:rPr>
        <w:t>,</w:t>
      </w:r>
      <w:r w:rsidRPr="00535A7A">
        <w:rPr>
          <w:rFonts w:cs="Calibri"/>
          <w:b/>
          <w:lang w:val="es-MX" w:eastAsia="es-MX"/>
        </w:rPr>
        <w:t xml:space="preserve"> de un ingreso por subsidio recibido por una Institución de enseñanza superior.</w:t>
      </w:r>
    </w:p>
    <w:p w:rsidR="006937AB" w:rsidRDefault="006937AB" w:rsidP="00CB0E8E">
      <w:pPr>
        <w:jc w:val="both"/>
        <w:rPr>
          <w:rFonts w:cs="Calibri"/>
          <w:b/>
          <w:sz w:val="32"/>
          <w:szCs w:val="32"/>
          <w:lang w:val="es-MX" w:eastAsia="es-MX"/>
        </w:rPr>
      </w:pPr>
      <w:r>
        <w:rPr>
          <w:rFonts w:cs="Calibri"/>
          <w:b/>
          <w:sz w:val="32"/>
          <w:szCs w:val="32"/>
          <w:lang w:val="es-MX" w:eastAsia="es-MX"/>
        </w:rPr>
        <w:t xml:space="preserve"> </w:t>
      </w:r>
      <w:r>
        <w:rPr>
          <w:rFonts w:cs="Calibri"/>
          <w:b/>
          <w:noProof/>
          <w:sz w:val="32"/>
          <w:szCs w:val="32"/>
          <w:lang w:val="es-MX" w:eastAsia="es-MX"/>
        </w:rPr>
        <w:drawing>
          <wp:inline distT="0" distB="0" distL="0" distR="0">
            <wp:extent cx="5991225" cy="3409950"/>
            <wp:effectExtent l="1905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a:srcRect/>
                    <a:stretch>
                      <a:fillRect/>
                    </a:stretch>
                  </pic:blipFill>
                  <pic:spPr bwMode="auto">
                    <a:xfrm>
                      <a:off x="0" y="0"/>
                      <a:ext cx="5991225" cy="3409950"/>
                    </a:xfrm>
                    <a:prstGeom prst="rect">
                      <a:avLst/>
                    </a:prstGeom>
                    <a:noFill/>
                  </pic:spPr>
                </pic:pic>
              </a:graphicData>
            </a:graphic>
          </wp:inline>
        </w:drawing>
      </w:r>
    </w:p>
    <w:p w:rsidR="006937AB" w:rsidRDefault="006937AB"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r>
        <w:rPr>
          <w:rFonts w:cs="Calibri"/>
          <w:b/>
          <w:noProof/>
          <w:sz w:val="32"/>
          <w:szCs w:val="32"/>
          <w:lang w:val="es-MX" w:eastAsia="es-MX"/>
        </w:rPr>
        <w:drawing>
          <wp:inline distT="0" distB="0" distL="0" distR="0">
            <wp:extent cx="5991225" cy="3429000"/>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a:srcRect/>
                    <a:stretch>
                      <a:fillRect/>
                    </a:stretch>
                  </pic:blipFill>
                  <pic:spPr bwMode="auto">
                    <a:xfrm>
                      <a:off x="0" y="0"/>
                      <a:ext cx="5991225" cy="3429000"/>
                    </a:xfrm>
                    <a:prstGeom prst="rect">
                      <a:avLst/>
                    </a:prstGeom>
                    <a:noFill/>
                  </pic:spPr>
                </pic:pic>
              </a:graphicData>
            </a:graphic>
          </wp:inline>
        </w:drawing>
      </w:r>
    </w:p>
    <w:p w:rsidR="00535A7A" w:rsidRDefault="00535A7A" w:rsidP="00CB0E8E">
      <w:pPr>
        <w:jc w:val="both"/>
        <w:rPr>
          <w:rFonts w:cs="Calibri"/>
          <w:b/>
          <w:sz w:val="32"/>
          <w:szCs w:val="32"/>
          <w:lang w:val="es-MX" w:eastAsia="es-MX"/>
        </w:rPr>
      </w:pPr>
      <w:r>
        <w:rPr>
          <w:rFonts w:cs="Calibri"/>
          <w:b/>
          <w:noProof/>
          <w:sz w:val="32"/>
          <w:szCs w:val="32"/>
          <w:lang w:val="es-MX" w:eastAsia="es-MX"/>
        </w:rPr>
        <w:lastRenderedPageBreak/>
        <w:drawing>
          <wp:inline distT="0" distB="0" distL="0" distR="0">
            <wp:extent cx="5962650" cy="42291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a:srcRect/>
                    <a:stretch>
                      <a:fillRect/>
                    </a:stretch>
                  </pic:blipFill>
                  <pic:spPr bwMode="auto">
                    <a:xfrm>
                      <a:off x="0" y="0"/>
                      <a:ext cx="5962650" cy="4229100"/>
                    </a:xfrm>
                    <a:prstGeom prst="rect">
                      <a:avLst/>
                    </a:prstGeom>
                    <a:noFill/>
                  </pic:spPr>
                </pic:pic>
              </a:graphicData>
            </a:graphic>
          </wp:inline>
        </w:drawing>
      </w: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r>
        <w:rPr>
          <w:rFonts w:cs="Calibri"/>
          <w:b/>
          <w:noProof/>
          <w:sz w:val="32"/>
          <w:szCs w:val="32"/>
          <w:lang w:val="es-MX" w:eastAsia="es-MX"/>
        </w:rPr>
        <w:drawing>
          <wp:inline distT="0" distB="0" distL="0" distR="0">
            <wp:extent cx="5934075" cy="3028950"/>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srcRect/>
                    <a:stretch>
                      <a:fillRect/>
                    </a:stretch>
                  </pic:blipFill>
                  <pic:spPr bwMode="auto">
                    <a:xfrm>
                      <a:off x="0" y="0"/>
                      <a:ext cx="5934075" cy="3028950"/>
                    </a:xfrm>
                    <a:prstGeom prst="rect">
                      <a:avLst/>
                    </a:prstGeom>
                    <a:noFill/>
                  </pic:spPr>
                </pic:pic>
              </a:graphicData>
            </a:graphic>
          </wp:inline>
        </w:drawing>
      </w: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r>
        <w:rPr>
          <w:rFonts w:cs="Calibri"/>
          <w:b/>
          <w:noProof/>
          <w:sz w:val="32"/>
          <w:szCs w:val="32"/>
          <w:lang w:val="es-MX" w:eastAsia="es-MX"/>
        </w:rPr>
        <w:lastRenderedPageBreak/>
        <w:drawing>
          <wp:inline distT="0" distB="0" distL="0" distR="0">
            <wp:extent cx="6172200" cy="461962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srcRect/>
                    <a:stretch>
                      <a:fillRect/>
                    </a:stretch>
                  </pic:blipFill>
                  <pic:spPr bwMode="auto">
                    <a:xfrm>
                      <a:off x="0" y="0"/>
                      <a:ext cx="6172200" cy="4619625"/>
                    </a:xfrm>
                    <a:prstGeom prst="rect">
                      <a:avLst/>
                    </a:prstGeom>
                    <a:noFill/>
                  </pic:spPr>
                </pic:pic>
              </a:graphicData>
            </a:graphic>
          </wp:inline>
        </w:drawing>
      </w: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CB0E8E">
      <w:pPr>
        <w:jc w:val="both"/>
        <w:rPr>
          <w:rFonts w:cs="Calibri"/>
          <w:b/>
          <w:sz w:val="32"/>
          <w:szCs w:val="32"/>
          <w:lang w:val="es-MX" w:eastAsia="es-MX"/>
        </w:rPr>
      </w:pPr>
    </w:p>
    <w:p w:rsidR="00535A7A" w:rsidRDefault="00535A7A" w:rsidP="00535A7A">
      <w:pPr>
        <w:jc w:val="both"/>
        <w:rPr>
          <w:rFonts w:cs="Calibri"/>
          <w:b/>
          <w:lang w:val="es-MX" w:eastAsia="es-MX"/>
        </w:rPr>
      </w:pPr>
      <w:r w:rsidRPr="00535A7A">
        <w:rPr>
          <w:rFonts w:cs="Calibri"/>
          <w:b/>
          <w:lang w:val="es-MX" w:eastAsia="es-MX"/>
        </w:rPr>
        <w:lastRenderedPageBreak/>
        <w:t xml:space="preserve">Para el registro contable-presupuestario de los </w:t>
      </w:r>
      <w:r>
        <w:rPr>
          <w:rFonts w:cs="Calibri"/>
          <w:b/>
          <w:lang w:val="es-MX" w:eastAsia="es-MX"/>
        </w:rPr>
        <w:t>eg</w:t>
      </w:r>
      <w:r w:rsidRPr="00535A7A">
        <w:rPr>
          <w:rFonts w:cs="Calibri"/>
          <w:b/>
          <w:lang w:val="es-MX" w:eastAsia="es-MX"/>
        </w:rPr>
        <w:t xml:space="preserve">resos deberán utilizarse las cuentas de orden presupuestarias. A manera de ejemplo se presenta el registro contable presupuestal, de un </w:t>
      </w:r>
      <w:r>
        <w:rPr>
          <w:rFonts w:cs="Calibri"/>
          <w:b/>
          <w:lang w:val="es-MX" w:eastAsia="es-MX"/>
        </w:rPr>
        <w:t>egreso efectuado</w:t>
      </w:r>
      <w:r w:rsidRPr="00535A7A">
        <w:rPr>
          <w:rFonts w:cs="Calibri"/>
          <w:b/>
          <w:lang w:val="es-MX" w:eastAsia="es-MX"/>
        </w:rPr>
        <w:t xml:space="preserve"> por una Institución de enseñanza superior.</w:t>
      </w:r>
    </w:p>
    <w:p w:rsidR="00535A7A" w:rsidRDefault="00535A7A" w:rsidP="00535A7A">
      <w:pPr>
        <w:jc w:val="both"/>
        <w:rPr>
          <w:rFonts w:cs="Calibri"/>
          <w:b/>
          <w:lang w:val="es-MX" w:eastAsia="es-MX"/>
        </w:rPr>
      </w:pPr>
      <w:r>
        <w:rPr>
          <w:rFonts w:cs="Calibri"/>
          <w:b/>
          <w:noProof/>
          <w:lang w:val="es-MX" w:eastAsia="es-MX"/>
        </w:rPr>
        <w:drawing>
          <wp:inline distT="0" distB="0" distL="0" distR="0">
            <wp:extent cx="6045200" cy="369570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srcRect/>
                    <a:stretch>
                      <a:fillRect/>
                    </a:stretch>
                  </pic:blipFill>
                  <pic:spPr bwMode="auto">
                    <a:xfrm>
                      <a:off x="0" y="0"/>
                      <a:ext cx="6045200" cy="3695700"/>
                    </a:xfrm>
                    <a:prstGeom prst="rect">
                      <a:avLst/>
                    </a:prstGeom>
                    <a:noFill/>
                  </pic:spPr>
                </pic:pic>
              </a:graphicData>
            </a:graphic>
          </wp:inline>
        </w:drawing>
      </w: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r>
        <w:rPr>
          <w:rFonts w:cs="Calibri"/>
          <w:b/>
          <w:noProof/>
          <w:lang w:val="es-MX" w:eastAsia="es-MX"/>
        </w:rPr>
        <w:drawing>
          <wp:inline distT="0" distB="0" distL="0" distR="0">
            <wp:extent cx="6048375" cy="3429000"/>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srcRect/>
                    <a:stretch>
                      <a:fillRect/>
                    </a:stretch>
                  </pic:blipFill>
                  <pic:spPr bwMode="auto">
                    <a:xfrm>
                      <a:off x="0" y="0"/>
                      <a:ext cx="6048375" cy="3429000"/>
                    </a:xfrm>
                    <a:prstGeom prst="rect">
                      <a:avLst/>
                    </a:prstGeom>
                    <a:noFill/>
                  </pic:spPr>
                </pic:pic>
              </a:graphicData>
            </a:graphic>
          </wp:inline>
        </w:drawing>
      </w:r>
    </w:p>
    <w:p w:rsidR="00535A7A" w:rsidRDefault="00535A7A" w:rsidP="00535A7A">
      <w:pPr>
        <w:jc w:val="both"/>
        <w:rPr>
          <w:rFonts w:cs="Calibri"/>
          <w:b/>
          <w:lang w:val="es-MX" w:eastAsia="es-MX"/>
        </w:rPr>
      </w:pPr>
      <w:r>
        <w:rPr>
          <w:rFonts w:cs="Calibri"/>
          <w:b/>
          <w:noProof/>
          <w:lang w:val="es-MX" w:eastAsia="es-MX"/>
        </w:rPr>
        <w:lastRenderedPageBreak/>
        <w:drawing>
          <wp:inline distT="0" distB="0" distL="0" distR="0">
            <wp:extent cx="5886450" cy="3743325"/>
            <wp:effectExtent l="1905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srcRect/>
                    <a:stretch>
                      <a:fillRect/>
                    </a:stretch>
                  </pic:blipFill>
                  <pic:spPr bwMode="auto">
                    <a:xfrm>
                      <a:off x="0" y="0"/>
                      <a:ext cx="5886450" cy="3743325"/>
                    </a:xfrm>
                    <a:prstGeom prst="rect">
                      <a:avLst/>
                    </a:prstGeom>
                    <a:noFill/>
                  </pic:spPr>
                </pic:pic>
              </a:graphicData>
            </a:graphic>
          </wp:inline>
        </w:drawing>
      </w: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r>
        <w:rPr>
          <w:rFonts w:cs="Calibri"/>
          <w:b/>
          <w:noProof/>
          <w:lang w:val="es-MX" w:eastAsia="es-MX"/>
        </w:rPr>
        <w:drawing>
          <wp:inline distT="0" distB="0" distL="0" distR="0">
            <wp:extent cx="5829300" cy="392430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srcRect/>
                    <a:stretch>
                      <a:fillRect/>
                    </a:stretch>
                  </pic:blipFill>
                  <pic:spPr bwMode="auto">
                    <a:xfrm>
                      <a:off x="0" y="0"/>
                      <a:ext cx="5829300" cy="3924300"/>
                    </a:xfrm>
                    <a:prstGeom prst="rect">
                      <a:avLst/>
                    </a:prstGeom>
                    <a:noFill/>
                  </pic:spPr>
                </pic:pic>
              </a:graphicData>
            </a:graphic>
          </wp:inline>
        </w:drawing>
      </w:r>
    </w:p>
    <w:p w:rsidR="00535A7A" w:rsidRDefault="00535A7A" w:rsidP="00535A7A">
      <w:pPr>
        <w:jc w:val="both"/>
        <w:rPr>
          <w:rFonts w:cs="Calibri"/>
          <w:b/>
          <w:lang w:val="es-MX" w:eastAsia="es-MX"/>
        </w:rPr>
      </w:pPr>
      <w:r>
        <w:rPr>
          <w:rFonts w:cs="Calibri"/>
          <w:b/>
          <w:noProof/>
          <w:lang w:val="es-MX" w:eastAsia="es-MX"/>
        </w:rPr>
        <w:lastRenderedPageBreak/>
        <w:drawing>
          <wp:inline distT="0" distB="0" distL="0" distR="0">
            <wp:extent cx="6038850" cy="342900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srcRect/>
                    <a:stretch>
                      <a:fillRect/>
                    </a:stretch>
                  </pic:blipFill>
                  <pic:spPr bwMode="auto">
                    <a:xfrm>
                      <a:off x="0" y="0"/>
                      <a:ext cx="6038850" cy="3429000"/>
                    </a:xfrm>
                    <a:prstGeom prst="rect">
                      <a:avLst/>
                    </a:prstGeom>
                    <a:noFill/>
                  </pic:spPr>
                </pic:pic>
              </a:graphicData>
            </a:graphic>
          </wp:inline>
        </w:drawing>
      </w: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r>
        <w:rPr>
          <w:rFonts w:cs="Calibri"/>
          <w:b/>
          <w:noProof/>
          <w:lang w:val="es-MX" w:eastAsia="es-MX"/>
        </w:rPr>
        <w:drawing>
          <wp:inline distT="0" distB="0" distL="0" distR="0">
            <wp:extent cx="5934075" cy="3990975"/>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srcRect/>
                    <a:stretch>
                      <a:fillRect/>
                    </a:stretch>
                  </pic:blipFill>
                  <pic:spPr bwMode="auto">
                    <a:xfrm>
                      <a:off x="0" y="0"/>
                      <a:ext cx="5934075" cy="3990975"/>
                    </a:xfrm>
                    <a:prstGeom prst="rect">
                      <a:avLst/>
                    </a:prstGeom>
                    <a:noFill/>
                  </pic:spPr>
                </pic:pic>
              </a:graphicData>
            </a:graphic>
          </wp:inline>
        </w:drawing>
      </w: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p>
    <w:p w:rsidR="00535A7A" w:rsidRDefault="00535A7A" w:rsidP="00535A7A">
      <w:pPr>
        <w:jc w:val="both"/>
        <w:rPr>
          <w:rFonts w:cs="Calibri"/>
          <w:b/>
          <w:lang w:val="es-MX" w:eastAsia="es-MX"/>
        </w:rPr>
      </w:pPr>
      <w:r>
        <w:rPr>
          <w:rFonts w:cs="Calibri"/>
          <w:b/>
          <w:noProof/>
          <w:lang w:val="es-MX" w:eastAsia="es-MX"/>
        </w:rPr>
        <w:drawing>
          <wp:inline distT="0" distB="0" distL="0" distR="0">
            <wp:extent cx="5934075" cy="4076700"/>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srcRect/>
                    <a:stretch>
                      <a:fillRect/>
                    </a:stretch>
                  </pic:blipFill>
                  <pic:spPr bwMode="auto">
                    <a:xfrm>
                      <a:off x="0" y="0"/>
                      <a:ext cx="5934075" cy="4076700"/>
                    </a:xfrm>
                    <a:prstGeom prst="rect">
                      <a:avLst/>
                    </a:prstGeom>
                    <a:noFill/>
                  </pic:spPr>
                </pic:pic>
              </a:graphicData>
            </a:graphic>
          </wp:inline>
        </w:drawing>
      </w:r>
    </w:p>
    <w:p w:rsidR="00535A7A" w:rsidRDefault="003B62F2" w:rsidP="00535A7A">
      <w:pPr>
        <w:jc w:val="both"/>
        <w:rPr>
          <w:rFonts w:cs="Calibri"/>
          <w:b/>
          <w:lang w:val="es-MX" w:eastAsia="es-MX"/>
        </w:rPr>
      </w:pPr>
      <w:r>
        <w:rPr>
          <w:rFonts w:cs="Calibri"/>
          <w:b/>
          <w:noProof/>
          <w:lang w:val="es-MX" w:eastAsia="es-MX"/>
        </w:rPr>
        <w:drawing>
          <wp:inline distT="0" distB="0" distL="0" distR="0">
            <wp:extent cx="5934075" cy="3714750"/>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srcRect/>
                    <a:stretch>
                      <a:fillRect/>
                    </a:stretch>
                  </pic:blipFill>
                  <pic:spPr bwMode="auto">
                    <a:xfrm>
                      <a:off x="0" y="0"/>
                      <a:ext cx="5934075" cy="3714750"/>
                    </a:xfrm>
                    <a:prstGeom prst="rect">
                      <a:avLst/>
                    </a:prstGeom>
                    <a:noFill/>
                  </pic:spPr>
                </pic:pic>
              </a:graphicData>
            </a:graphic>
          </wp:inline>
        </w:drawing>
      </w:r>
    </w:p>
    <w:p w:rsidR="00535A7A" w:rsidRDefault="00535A7A" w:rsidP="00535A7A">
      <w:pPr>
        <w:jc w:val="both"/>
        <w:rPr>
          <w:rFonts w:cs="Calibri"/>
          <w:b/>
          <w:lang w:val="es-MX" w:eastAsia="es-MX"/>
        </w:rPr>
      </w:pPr>
    </w:p>
    <w:p w:rsidR="00535A7A" w:rsidRDefault="003B62F2" w:rsidP="00535A7A">
      <w:pPr>
        <w:jc w:val="both"/>
        <w:rPr>
          <w:rFonts w:cs="Calibri"/>
          <w:b/>
          <w:lang w:val="es-MX" w:eastAsia="es-MX"/>
        </w:rPr>
      </w:pPr>
      <w:r>
        <w:rPr>
          <w:rFonts w:cs="Calibri"/>
          <w:b/>
          <w:noProof/>
          <w:lang w:val="es-MX" w:eastAsia="es-MX"/>
        </w:rPr>
        <w:drawing>
          <wp:inline distT="0" distB="0" distL="0" distR="0">
            <wp:extent cx="6410325" cy="4362450"/>
            <wp:effectExtent l="1905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srcRect/>
                    <a:stretch>
                      <a:fillRect/>
                    </a:stretch>
                  </pic:blipFill>
                  <pic:spPr bwMode="auto">
                    <a:xfrm>
                      <a:off x="0" y="0"/>
                      <a:ext cx="6410325" cy="4362450"/>
                    </a:xfrm>
                    <a:prstGeom prst="rect">
                      <a:avLst/>
                    </a:prstGeom>
                    <a:noFill/>
                  </pic:spPr>
                </pic:pic>
              </a:graphicData>
            </a:graphic>
          </wp:inline>
        </w:drawing>
      </w:r>
    </w:p>
    <w:p w:rsidR="00535A7A" w:rsidRDefault="00D614CB" w:rsidP="00535A7A">
      <w:pPr>
        <w:jc w:val="both"/>
        <w:rPr>
          <w:rFonts w:cs="Calibri"/>
          <w:b/>
          <w:lang w:val="es-MX" w:eastAsia="es-MX"/>
        </w:rPr>
      </w:pPr>
      <w:r w:rsidRPr="003B62F2">
        <w:rPr>
          <w:rFonts w:cs="Calibri"/>
          <w:b/>
          <w:lang w:val="es-MX" w:eastAsia="es-MX"/>
        </w:rPr>
        <w:object w:dxaOrig="7176" w:dyaOrig="5391">
          <v:shape id="_x0000_i1065" type="#_x0000_t75" style="width:455.25pt;height:269.25pt" o:ole="">
            <v:imagedata r:id="rId116" o:title=""/>
          </v:shape>
          <o:OLEObject Type="Embed" ProgID="PowerPoint.Slide.12" ShapeID="_x0000_i1065" DrawAspect="Content" ObjectID="_1406475774" r:id="rId117"/>
        </w:object>
      </w:r>
    </w:p>
    <w:p w:rsidR="00535A7A" w:rsidRDefault="00535A7A" w:rsidP="00535A7A">
      <w:pPr>
        <w:jc w:val="both"/>
        <w:rPr>
          <w:rFonts w:cs="Calibri"/>
          <w:b/>
          <w:lang w:val="es-MX" w:eastAsia="es-MX"/>
        </w:rPr>
      </w:pPr>
    </w:p>
    <w:p w:rsidR="003B62F2" w:rsidRDefault="00D638D7" w:rsidP="00535A7A">
      <w:pPr>
        <w:jc w:val="both"/>
        <w:rPr>
          <w:rFonts w:cs="Calibri"/>
          <w:b/>
          <w:sz w:val="32"/>
          <w:szCs w:val="32"/>
          <w:lang w:val="es-MX" w:eastAsia="es-MX"/>
        </w:rPr>
      </w:pPr>
      <w:r>
        <w:rPr>
          <w:rFonts w:cs="Calibri"/>
          <w:b/>
          <w:sz w:val="32"/>
          <w:szCs w:val="32"/>
          <w:lang w:val="es-MX" w:eastAsia="es-MX"/>
        </w:rPr>
        <w:t>3.4 NORMAS Y METODOLOGÍ</w:t>
      </w:r>
      <w:r w:rsidR="006378AA">
        <w:rPr>
          <w:rFonts w:cs="Calibri"/>
          <w:b/>
          <w:sz w:val="32"/>
          <w:szCs w:val="32"/>
          <w:lang w:val="es-MX" w:eastAsia="es-MX"/>
        </w:rPr>
        <w:t>A PARA LA EMISIÓN DE INFORMACIÓ</w:t>
      </w:r>
      <w:r w:rsidR="00747A44" w:rsidRPr="00747A44">
        <w:rPr>
          <w:rFonts w:cs="Calibri"/>
          <w:b/>
          <w:sz w:val="32"/>
          <w:szCs w:val="32"/>
          <w:lang w:val="es-MX" w:eastAsia="es-MX"/>
        </w:rPr>
        <w:t>N FINANCIERA Y ESTRUCTU</w:t>
      </w:r>
      <w:r w:rsidR="006378AA">
        <w:rPr>
          <w:rFonts w:cs="Calibri"/>
          <w:b/>
          <w:sz w:val="32"/>
          <w:szCs w:val="32"/>
          <w:lang w:val="es-MX" w:eastAsia="es-MX"/>
        </w:rPr>
        <w:t>RA DE LOS ESTADOS FINANCIEROS BÁ</w:t>
      </w:r>
      <w:r w:rsidR="00747A44" w:rsidRPr="00747A44">
        <w:rPr>
          <w:rFonts w:cs="Calibri"/>
          <w:b/>
          <w:sz w:val="32"/>
          <w:szCs w:val="32"/>
          <w:lang w:val="es-MX" w:eastAsia="es-MX"/>
        </w:rPr>
        <w:t>SI</w:t>
      </w:r>
      <w:r w:rsidR="006378AA">
        <w:rPr>
          <w:rFonts w:cs="Calibri"/>
          <w:b/>
          <w:sz w:val="32"/>
          <w:szCs w:val="32"/>
          <w:lang w:val="es-MX" w:eastAsia="es-MX"/>
        </w:rPr>
        <w:t>COS DEL ENTE PÚBLICO Y CARACTERÍ</w:t>
      </w:r>
      <w:r w:rsidR="00747A44" w:rsidRPr="00747A44">
        <w:rPr>
          <w:rFonts w:cs="Calibri"/>
          <w:b/>
          <w:sz w:val="32"/>
          <w:szCs w:val="32"/>
          <w:lang w:val="es-MX" w:eastAsia="es-MX"/>
        </w:rPr>
        <w:t>STICAS DE SUS NOTAS</w:t>
      </w:r>
      <w:r w:rsidR="00747A44">
        <w:rPr>
          <w:rFonts w:cs="Calibri"/>
          <w:b/>
          <w:sz w:val="32"/>
          <w:szCs w:val="32"/>
          <w:lang w:val="es-MX" w:eastAsia="es-MX"/>
        </w:rPr>
        <w:t>.</w:t>
      </w:r>
    </w:p>
    <w:p w:rsidR="00747A44" w:rsidRDefault="00747A44" w:rsidP="00535A7A">
      <w:pPr>
        <w:jc w:val="both"/>
        <w:rPr>
          <w:rFonts w:cs="Calibri"/>
          <w:b/>
          <w:sz w:val="32"/>
          <w:szCs w:val="32"/>
          <w:lang w:val="es-MX" w:eastAsia="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Los estados financieros muestran los hechos con incidencia económica</w:t>
      </w:r>
      <w:r w:rsidRPr="00F14DC1">
        <w:rPr>
          <w:rFonts w:ascii="Cambria Math" w:hAnsi="Cambria Math"/>
          <w:sz w:val="26"/>
          <w:szCs w:val="26"/>
          <w:lang w:val="es-MX"/>
        </w:rPr>
        <w:t>‐</w:t>
      </w:r>
      <w:r w:rsidRPr="00F14DC1">
        <w:rPr>
          <w:rFonts w:ascii="Times New Roman" w:hAnsi="Times New Roman"/>
          <w:sz w:val="26"/>
          <w:szCs w:val="26"/>
          <w:lang w:val="es-MX"/>
        </w:rPr>
        <w:t>financiera que ha realizado el ente público durante un período determinado y son necesarios para mostrar los resultados de la gestión económica, presupuestaria y fiscal, así como la situación patrimonial de los mismos, todo ello con la estructura, oportunidad y periodicidad que la ley establece.</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El objetivo general de los estados financieros, es suministrar información acerca de la situación financiera, los resultados de la gestión, los flujos de efectivo acontecidos y sobre el ejercicio del Presupuesto de Ingresos y del Presupuesto de Egresos, así como sobre la postura fiscal del ente público de forma tal que permiten cumplir con los ordenamientos legales sobre el particular. A su vez, son útiles para que un amplio espectro de usuarios pueda disponer de la misma con confiabilidad y oportunidad para tomar decisiones respecto a la asignación de recursos, su administración y control. Asimismo, constituyen la base financiera para la evaluación del desempeño, la rendición de cuentas, la transparencia fiscal y la fiscalización externa de las cuentas públicas.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b/>
          <w:sz w:val="26"/>
          <w:szCs w:val="26"/>
          <w:lang w:val="es-MX"/>
        </w:rPr>
      </w:pPr>
      <w:r w:rsidRPr="00F14DC1">
        <w:rPr>
          <w:rFonts w:ascii="Times New Roman" w:hAnsi="Times New Roman"/>
          <w:b/>
          <w:sz w:val="26"/>
          <w:szCs w:val="26"/>
          <w:lang w:val="es-MX"/>
        </w:rPr>
        <w:t>Lo anterior se logra mediante la revelación de la siguiente información:</w:t>
      </w:r>
    </w:p>
    <w:p w:rsidR="00F14DC1" w:rsidRPr="00F14DC1" w:rsidRDefault="00F14DC1" w:rsidP="00F3775C">
      <w:pPr>
        <w:autoSpaceDE w:val="0"/>
        <w:autoSpaceDN w:val="0"/>
        <w:adjustRightInd w:val="0"/>
        <w:jc w:val="both"/>
        <w:rPr>
          <w:rFonts w:ascii="Times New Roman" w:hAnsi="Times New Roman"/>
          <w:b/>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a) Información sobre las fuentes de financiamiento, asignación y uso de los recursos financieros;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b) Información sobre la forma en que el ente público ha financiado sus actividades y cubierto sus necesidades de efectivo;</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c) Información útil para evaluar la capacidad del ente público para financiar sus actividades y cumplir con sus obligaciones y compromisos;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d) Información agregada que coadyuva en la evaluación del rendimiento del ente público en función de sus costos de servicio, eficiencia y logros;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e) Información sobre la condición financiera del ente público y sus variaciones;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f) Información sobre los ingresos presupuestales previstos, que permite conocer los conceptos que los generan, realizar el seguimiento de los mismos hasta su ingreso a la tesorería del ente público y evaluar la eficacia y eficiencia con la que se recaudan;</w:t>
      </w: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lastRenderedPageBreak/>
        <w:t>g) Información sobre la asignación y uso de los recursos presupuestales que permita realizar el seguimiento de los fondos públicos desde que se otorga la autorización para gastar hasta su pago, incluyendo el cumplimento de los requisitos legales y contractuales vigentes.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h) Información sobre el flujo de fondos resultante de todas las operaciones del ente público, de forma tal que permita conocer su postura fiscal e información complementaria para generar las cuentas nacionales.</w:t>
      </w:r>
    </w:p>
    <w:p w:rsidR="00F14DC1" w:rsidRPr="00F14DC1" w:rsidRDefault="00F14DC1"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i) Información que coadyuva a la evaluación del desempeño de la Universidad y de los administradores de fondos públicos.</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Asimismo, los estados financieros también pueden tener un papel predictivo o proyectivo, suministrando información útil para predecir el nivel de los recursos requeridos por las operaciones corrientes, los recursos que estas operaciones pueden generar y los riesgos e incertidumbres asociados.</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Para poder lograr la información anterior y tal como lo dispone la Ley, es necesaria la elaboración, presentación, interpretación y análisis del conjunto de estados e informes que se muestran en los apartados siguientes.</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Default="00F3775C" w:rsidP="00F3775C">
      <w:pPr>
        <w:autoSpaceDE w:val="0"/>
        <w:autoSpaceDN w:val="0"/>
        <w:adjustRightInd w:val="0"/>
        <w:jc w:val="center"/>
        <w:rPr>
          <w:rFonts w:ascii="Tahoma" w:hAnsi="Tahoma" w:cs="Tahoma"/>
          <w:b/>
          <w:sz w:val="26"/>
          <w:szCs w:val="26"/>
          <w:lang w:val="es-MX"/>
        </w:rPr>
      </w:pPr>
      <w:r w:rsidRPr="00F14DC1">
        <w:rPr>
          <w:rFonts w:ascii="Tahoma" w:hAnsi="Tahoma" w:cs="Tahoma"/>
          <w:b/>
          <w:sz w:val="26"/>
          <w:szCs w:val="26"/>
          <w:lang w:val="es-MX"/>
        </w:rPr>
        <w:t xml:space="preserve"> TIPOS DE ESTADOS E INFORMES FINANCIEROS</w:t>
      </w:r>
    </w:p>
    <w:p w:rsidR="00F14DC1" w:rsidRPr="00F14DC1" w:rsidRDefault="00F14DC1" w:rsidP="00F3775C">
      <w:pPr>
        <w:autoSpaceDE w:val="0"/>
        <w:autoSpaceDN w:val="0"/>
        <w:adjustRightInd w:val="0"/>
        <w:jc w:val="center"/>
        <w:rPr>
          <w:rFonts w:ascii="Tahoma" w:hAnsi="Tahoma" w:cs="Tahoma"/>
          <w:b/>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De acuerdo con la Ley General de Contabilidad Gubernamental y lo ya establecido al respecto por el Consejo Nacional de Armonización Contable (CONAC), así como para poder cumplir con los propósitos anteriores, los sistemas contables del ente público deberán permitir la generación periódica de los estados financieros y la información financiera que a continuación se señala:</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a) Estados e información contable</w:t>
      </w: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b) Estados e información presupuestaria y programática</w:t>
      </w: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c) Estados e Información económica</w:t>
      </w:r>
    </w:p>
    <w:p w:rsidR="00F3775C" w:rsidRPr="00F14DC1" w:rsidRDefault="00F3775C" w:rsidP="00F3775C">
      <w:pPr>
        <w:autoSpaceDE w:val="0"/>
        <w:autoSpaceDN w:val="0"/>
        <w:adjustRightInd w:val="0"/>
        <w:jc w:val="both"/>
        <w:rPr>
          <w:rFonts w:ascii="Times New Roman" w:hAnsi="Times New Roman"/>
          <w:sz w:val="26"/>
          <w:szCs w:val="26"/>
          <w:lang w:val="es-MX"/>
        </w:rPr>
      </w:pPr>
    </w:p>
    <w:p w:rsidR="00F3775C" w:rsidRPr="00F14DC1" w:rsidRDefault="00F3775C" w:rsidP="00F3775C">
      <w:pPr>
        <w:autoSpaceDE w:val="0"/>
        <w:autoSpaceDN w:val="0"/>
        <w:adjustRightInd w:val="0"/>
        <w:jc w:val="both"/>
        <w:rPr>
          <w:rFonts w:ascii="Times New Roman" w:hAnsi="Times New Roman"/>
          <w:sz w:val="26"/>
          <w:szCs w:val="26"/>
          <w:lang w:val="es-MX"/>
        </w:rPr>
      </w:pPr>
      <w:r w:rsidRPr="00F14DC1">
        <w:rPr>
          <w:rFonts w:ascii="Times New Roman" w:hAnsi="Times New Roman"/>
          <w:sz w:val="26"/>
          <w:szCs w:val="26"/>
          <w:lang w:val="es-MX"/>
        </w:rPr>
        <w:t xml:space="preserve">     Los estados financieros elaborados por el ente público deberán  definirse conceptualmente y se identifican los elementos básicos que los conforman de acuerdo con la normatividad impuesta por el CONAC, con el propósito de lograr uniformidad de criterios entre los preparadores, reguladores, dictaminadores y usuarios de dicha información, así como para lograr su adecuada armonización.</w:t>
      </w:r>
    </w:p>
    <w:p w:rsidR="00F3775C" w:rsidRDefault="00F3775C" w:rsidP="00535A7A">
      <w:pPr>
        <w:jc w:val="both"/>
        <w:rPr>
          <w:rFonts w:cs="Calibri"/>
          <w:b/>
          <w:sz w:val="32"/>
          <w:szCs w:val="32"/>
          <w:lang w:val="es-MX" w:eastAsia="es-MX"/>
        </w:rPr>
      </w:pPr>
    </w:p>
    <w:p w:rsidR="00747A44" w:rsidRDefault="00747A44" w:rsidP="00747A44">
      <w:pPr>
        <w:jc w:val="both"/>
        <w:rPr>
          <w:rFonts w:ascii="Times New Roman" w:hAnsi="Times New Roman"/>
          <w:b/>
          <w:lang w:val="es-MX"/>
        </w:rPr>
      </w:pPr>
      <w:r>
        <w:rPr>
          <w:rFonts w:ascii="Times New Roman" w:hAnsi="Times New Roman"/>
          <w:lang w:val="es-MX"/>
        </w:rPr>
        <w:t xml:space="preserve"> </w:t>
      </w:r>
      <w:r w:rsidRPr="00D74A9E">
        <w:rPr>
          <w:rFonts w:ascii="Times New Roman" w:hAnsi="Times New Roman"/>
          <w:b/>
          <w:lang w:val="es-MX"/>
        </w:rPr>
        <w:t xml:space="preserve"> </w:t>
      </w:r>
    </w:p>
    <w:p w:rsidR="00747A44" w:rsidRPr="00146A37" w:rsidRDefault="00747A44" w:rsidP="00747A44">
      <w:pPr>
        <w:jc w:val="both"/>
        <w:rPr>
          <w:rFonts w:ascii="Times New Roman" w:hAnsi="Times New Roman"/>
          <w:b/>
          <w:sz w:val="26"/>
          <w:szCs w:val="26"/>
          <w:lang w:val="es-MX"/>
        </w:rPr>
      </w:pPr>
      <w:r w:rsidRPr="00D74A9E">
        <w:rPr>
          <w:rFonts w:ascii="Times New Roman" w:hAnsi="Times New Roman"/>
          <w:b/>
          <w:lang w:val="es-MX"/>
        </w:rPr>
        <w:lastRenderedPageBreak/>
        <w:t xml:space="preserve"> </w:t>
      </w:r>
      <w:r w:rsidRPr="00146A37">
        <w:rPr>
          <w:rFonts w:ascii="Times New Roman" w:hAnsi="Times New Roman"/>
          <w:b/>
          <w:sz w:val="26"/>
          <w:szCs w:val="26"/>
          <w:lang w:val="es-MX"/>
        </w:rPr>
        <w:t>Estados financieros básicos a generar por el sistema y estructura de los mismos</w:t>
      </w:r>
    </w:p>
    <w:p w:rsidR="00747A44" w:rsidRPr="00146A37" w:rsidRDefault="00747A44" w:rsidP="00747A44">
      <w:pPr>
        <w:jc w:val="both"/>
        <w:rPr>
          <w:rFonts w:ascii="Times New Roman" w:hAnsi="Times New Roman"/>
          <w:b/>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Este apartado se integra por tres componentes:</w:t>
      </w:r>
    </w:p>
    <w:p w:rsidR="00747A44" w:rsidRPr="00146A37" w:rsidRDefault="00747A44" w:rsidP="00747A44">
      <w:pPr>
        <w:jc w:val="both"/>
        <w:rPr>
          <w:rFonts w:ascii="Times New Roman" w:hAnsi="Times New Roman"/>
          <w:sz w:val="26"/>
          <w:szCs w:val="26"/>
          <w:lang w:val="es-MX"/>
        </w:rPr>
      </w:pPr>
    </w:p>
    <w:p w:rsidR="00747A44" w:rsidRPr="00F3775C" w:rsidRDefault="00747A44" w:rsidP="00747A44">
      <w:pPr>
        <w:jc w:val="both"/>
        <w:rPr>
          <w:rFonts w:ascii="Arial Narrow" w:hAnsi="Arial Narrow"/>
          <w:b/>
          <w:sz w:val="26"/>
          <w:szCs w:val="26"/>
          <w:lang w:val="es-MX"/>
        </w:rPr>
      </w:pPr>
      <w:r w:rsidRPr="00F3775C">
        <w:rPr>
          <w:rFonts w:ascii="Arial Narrow" w:hAnsi="Arial Narrow"/>
          <w:sz w:val="26"/>
          <w:szCs w:val="26"/>
          <w:lang w:val="es-MX"/>
        </w:rPr>
        <w:t xml:space="preserve">  </w:t>
      </w:r>
      <w:r w:rsidRPr="00F3775C">
        <w:rPr>
          <w:rFonts w:ascii="Arial Narrow" w:hAnsi="Arial Narrow"/>
          <w:b/>
          <w:sz w:val="26"/>
          <w:szCs w:val="26"/>
          <w:lang w:val="es-MX"/>
        </w:rPr>
        <w:t>Cualidades de la información financiera a generar por el SCG.</w:t>
      </w:r>
    </w:p>
    <w:p w:rsidR="00747A44" w:rsidRPr="00F3775C" w:rsidRDefault="00747A44" w:rsidP="00747A44">
      <w:pPr>
        <w:jc w:val="both"/>
        <w:rPr>
          <w:rFonts w:ascii="Arial Narrow" w:hAnsi="Arial Narrow"/>
          <w:b/>
          <w:sz w:val="26"/>
          <w:szCs w:val="26"/>
          <w:lang w:val="es-MX"/>
        </w:rPr>
      </w:pPr>
      <w:r w:rsidRPr="00F3775C">
        <w:rPr>
          <w:rFonts w:ascii="Arial Narrow" w:hAnsi="Arial Narrow"/>
          <w:b/>
          <w:sz w:val="26"/>
          <w:szCs w:val="26"/>
          <w:lang w:val="es-MX"/>
        </w:rPr>
        <w:t xml:space="preserve">  Estados e información financiera a generar por el ente público.</w:t>
      </w:r>
    </w:p>
    <w:p w:rsidR="00747A44" w:rsidRPr="00F3775C" w:rsidRDefault="00747A44" w:rsidP="00747A44">
      <w:pPr>
        <w:jc w:val="both"/>
        <w:rPr>
          <w:rFonts w:ascii="Arial Narrow" w:hAnsi="Arial Narrow"/>
          <w:b/>
          <w:sz w:val="26"/>
          <w:szCs w:val="26"/>
          <w:lang w:val="es-MX"/>
        </w:rPr>
      </w:pPr>
      <w:r w:rsidRPr="00F3775C">
        <w:rPr>
          <w:rFonts w:ascii="Arial Narrow" w:hAnsi="Arial Narrow"/>
          <w:b/>
          <w:sz w:val="26"/>
          <w:szCs w:val="26"/>
          <w:lang w:val="es-MX"/>
        </w:rPr>
        <w:t xml:space="preserve">  Estructura básica de los principales estados financieros a generar por el ente público</w:t>
      </w:r>
    </w:p>
    <w:p w:rsidR="00747A44" w:rsidRPr="00F3775C" w:rsidRDefault="00747A44" w:rsidP="00747A44">
      <w:pPr>
        <w:ind w:left="360"/>
        <w:jc w:val="both"/>
        <w:rPr>
          <w:rFonts w:ascii="Arial Narrow" w:hAnsi="Arial Narrow"/>
          <w:b/>
          <w:sz w:val="26"/>
          <w:szCs w:val="26"/>
          <w:lang w:val="es-MX"/>
        </w:rPr>
      </w:pPr>
    </w:p>
    <w:p w:rsidR="00146A37" w:rsidRPr="00146A37" w:rsidRDefault="00146A37" w:rsidP="00747A44">
      <w:pPr>
        <w:ind w:left="360"/>
        <w:jc w:val="both"/>
        <w:rPr>
          <w:rFonts w:ascii="Times New Roman" w:hAnsi="Times New Roman"/>
          <w:b/>
          <w:sz w:val="26"/>
          <w:szCs w:val="26"/>
          <w:lang w:val="es-MX"/>
        </w:rPr>
      </w:pPr>
    </w:p>
    <w:p w:rsidR="00747A44" w:rsidRPr="00146A37" w:rsidRDefault="00747A44" w:rsidP="00747A44">
      <w:pPr>
        <w:jc w:val="both"/>
        <w:rPr>
          <w:rFonts w:ascii="Times New Roman" w:hAnsi="Times New Roman"/>
          <w:b/>
          <w:i/>
          <w:color w:val="943634" w:themeColor="accent2" w:themeShade="BF"/>
          <w:sz w:val="26"/>
          <w:szCs w:val="26"/>
          <w:u w:val="single"/>
          <w:lang w:val="es-MX"/>
        </w:rPr>
      </w:pPr>
      <w:r w:rsidRPr="00146A37">
        <w:rPr>
          <w:rFonts w:ascii="Times New Roman" w:hAnsi="Times New Roman"/>
          <w:b/>
          <w:i/>
          <w:color w:val="943634" w:themeColor="accent2" w:themeShade="BF"/>
          <w:sz w:val="26"/>
          <w:szCs w:val="26"/>
          <w:u w:val="single"/>
          <w:lang w:val="es-MX"/>
        </w:rPr>
        <w:t xml:space="preserve">Cualidades de la información financiera a generar por el SCG </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Las características cualitativas son los atributos y requisitos indispensables que debe reunir la información presupuestaria, contable y económica en el ámbito gubernamental. De esta forma, establecen una guía para seleccionar los métodos contables, determinar la información a revelar en dichos estados, cumplir los objetivos de proporcionar información útil para sustentar la toma de decisiones; así como facilitar el seguimiento, control, evaluación, rendición de cuentas y fiscalización de los recursos públicos por parte de los órganos facultados por ley para efectuar dichas tareas.</w:t>
      </w:r>
    </w:p>
    <w:p w:rsidR="00747A44" w:rsidRPr="00146A37" w:rsidRDefault="00747A44"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 Contabilidad Gubernamental es, ante todo, un sistema de registro que procesa eventos presupuestarios, contables y económicos de los entes públicos. En tal sentido, los informes y estados financieros deben elaborarse de acuerdo con las prácticas, métodos, procedimientos, reglas particulares y generales, así como las disposiciones legales, con el propósito de generar información que tenga validez y relevancia en los ámbitos de los entes públicos, que sea confiable y comparable, que responda a las necesidades y requisitos de la rendición de cuentas, y de la fiscalización, y aporte certeza y transparencia a la gestión financiera gubernamental.</w:t>
      </w:r>
    </w:p>
    <w:p w:rsidR="00747A44" w:rsidRPr="00146A37" w:rsidRDefault="00747A44" w:rsidP="00747A44">
      <w:pPr>
        <w:jc w:val="both"/>
        <w:rPr>
          <w:rFonts w:ascii="Times New Roman" w:hAnsi="Times New Roman"/>
          <w:sz w:val="26"/>
          <w:szCs w:val="26"/>
          <w:lang w:val="es-MX"/>
        </w:rPr>
      </w:pPr>
    </w:p>
    <w:p w:rsidR="00146A37"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De acuerdo con lo anterior, los estados e información financiera del ente público incluyen todos los datos que permiten la adecuada interpretación de la situación presupuestaria, contable y económica, de tal modo que reflejan con claridad los resultados alcanzados en el desarrollo de las atribuciones otorgadas jurídicamente a</w:t>
      </w:r>
      <w:r w:rsidR="00146A37" w:rsidRPr="00146A37">
        <w:rPr>
          <w:rFonts w:ascii="Times New Roman" w:hAnsi="Times New Roman"/>
          <w:sz w:val="26"/>
          <w:szCs w:val="26"/>
          <w:lang w:val="es-MX"/>
        </w:rPr>
        <w:t>l ente público</w:t>
      </w:r>
    </w:p>
    <w:p w:rsidR="00747A44" w:rsidRPr="00146A37" w:rsidRDefault="00747A44"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El Artículo 44 de la Ley de Contabilidad, establece que “Los estados financieros y la información emanada de la contabilidad deberá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misma determina.</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Las características cualitativas que la Ley de Contabilidad establece para los estados e información financiera que genera el SCG, son congruentes con lo establecido por el </w:t>
      </w:r>
      <w:r w:rsidRPr="00146A37">
        <w:rPr>
          <w:rFonts w:ascii="Times New Roman" w:hAnsi="Times New Roman"/>
          <w:sz w:val="26"/>
          <w:szCs w:val="26"/>
          <w:lang w:val="es-MX"/>
        </w:rPr>
        <w:lastRenderedPageBreak/>
        <w:t>Consejo Mexicano para la Investigación y Desarrollo de Normas de Información Financiera (CINIF) mediante la NIF A-4, referente al mismo tema.</w:t>
      </w:r>
    </w:p>
    <w:p w:rsidR="00146A37" w:rsidRPr="00146A37" w:rsidRDefault="00146A37" w:rsidP="00747A44">
      <w:pPr>
        <w:jc w:val="both"/>
        <w:rPr>
          <w:rFonts w:ascii="Times New Roman" w:hAnsi="Times New Roman"/>
          <w:sz w:val="26"/>
          <w:szCs w:val="26"/>
          <w:lang w:val="es-MX"/>
        </w:rPr>
      </w:pPr>
    </w:p>
    <w:p w:rsidR="00F14DC1" w:rsidRPr="00146A37" w:rsidRDefault="00F14DC1"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Restricciones a las características cualitativas.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Las características cualitativas referidas anteriormente encuentran algunas restricciones que condicionan la obtención de niveles máximos de una u otra cualidad o, incluso, pueden hacerle perder la congruencia. Surgen así conceptos como la relación entre oportunidad, provisionalidad y equilibrio entre las características cualitativas, que sin ser deseables, deben exponerse.</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a) Oportunidad</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 información financiera debe encontrarse disponible en el momento que se requiera y cuando las circunstancias así lo exijan, con el propósito de que los usuarios puedan utilizarla y tomar decisiones a tiempo. La información no presentada oportunamente pierde, total o parcialmente, su relevancia.</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b) Provisionalidad</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 información financiera no siempre representa hechos totalmente terminados, lo cual puede limitar la precisión de la información. Por tal razón, se da la necesidad de hacer cortes convencionales en la vida del ente, a efecto de presentar los resultados de operación, la situación financiera y sus cambios, considerando eventos cuyas repercusiones en muchas ocasiones no se incluyen a la fecha de integración de los estados financieros.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c) Equilibrio entre características cualitativas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Para cumplir con el objetivo de los estados financieros, es necesario obtener un equilibrio apropiado entre las características cualitativas de la información. Ello implica que su cumplimiento debe dirigirse a la búsqueda de un punto óptimo, más que a la consecución de niveles máximos de todas las características cualitativas, lo cual implica la aplicación adecuada del juicio profesional en cada caso concreto.</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p>
    <w:p w:rsidR="00146A37" w:rsidRDefault="00747A44" w:rsidP="00747A44">
      <w:pPr>
        <w:jc w:val="both"/>
        <w:rPr>
          <w:rFonts w:ascii="Times New Roman" w:hAnsi="Times New Roman"/>
          <w:i/>
          <w:color w:val="943634" w:themeColor="accent2" w:themeShade="BF"/>
          <w:sz w:val="26"/>
          <w:szCs w:val="26"/>
          <w:lang w:val="es-MX"/>
        </w:rPr>
      </w:pPr>
      <w:r w:rsidRPr="00146A37">
        <w:rPr>
          <w:rFonts w:ascii="Times New Roman" w:hAnsi="Times New Roman"/>
          <w:i/>
          <w:color w:val="943634" w:themeColor="accent2" w:themeShade="BF"/>
          <w:sz w:val="26"/>
          <w:szCs w:val="26"/>
          <w:lang w:val="es-MX"/>
        </w:rPr>
        <w:t xml:space="preserve"> </w:t>
      </w:r>
    </w:p>
    <w:p w:rsidR="00146A37" w:rsidRDefault="00146A37" w:rsidP="00747A44">
      <w:pPr>
        <w:jc w:val="both"/>
        <w:rPr>
          <w:rFonts w:ascii="Times New Roman" w:hAnsi="Times New Roman"/>
          <w:i/>
          <w:color w:val="943634" w:themeColor="accent2" w:themeShade="BF"/>
          <w:sz w:val="26"/>
          <w:szCs w:val="26"/>
          <w:lang w:val="es-MX"/>
        </w:rPr>
      </w:pPr>
    </w:p>
    <w:p w:rsidR="00F14DC1" w:rsidRDefault="00F14DC1" w:rsidP="00747A44">
      <w:pPr>
        <w:jc w:val="both"/>
        <w:rPr>
          <w:rFonts w:ascii="Times New Roman" w:hAnsi="Times New Roman"/>
          <w:i/>
          <w:color w:val="943634" w:themeColor="accent2" w:themeShade="BF"/>
          <w:sz w:val="26"/>
          <w:szCs w:val="26"/>
          <w:lang w:val="es-MX"/>
        </w:rPr>
      </w:pPr>
    </w:p>
    <w:p w:rsidR="00F14DC1" w:rsidRDefault="00F14DC1" w:rsidP="00747A44">
      <w:pPr>
        <w:jc w:val="both"/>
        <w:rPr>
          <w:rFonts w:ascii="Times New Roman" w:hAnsi="Times New Roman"/>
          <w:i/>
          <w:color w:val="943634" w:themeColor="accent2" w:themeShade="BF"/>
          <w:sz w:val="26"/>
          <w:szCs w:val="26"/>
          <w:lang w:val="es-MX"/>
        </w:rPr>
      </w:pPr>
    </w:p>
    <w:p w:rsidR="00F14DC1" w:rsidRDefault="00F14DC1" w:rsidP="00747A44">
      <w:pPr>
        <w:jc w:val="both"/>
        <w:rPr>
          <w:rFonts w:ascii="Times New Roman" w:hAnsi="Times New Roman"/>
          <w:i/>
          <w:color w:val="943634" w:themeColor="accent2" w:themeShade="BF"/>
          <w:sz w:val="26"/>
          <w:szCs w:val="26"/>
          <w:lang w:val="es-MX"/>
        </w:rPr>
      </w:pPr>
    </w:p>
    <w:p w:rsidR="006378AA" w:rsidRDefault="006378AA" w:rsidP="00747A44">
      <w:pPr>
        <w:jc w:val="both"/>
        <w:rPr>
          <w:rFonts w:ascii="Times New Roman" w:hAnsi="Times New Roman"/>
          <w:i/>
          <w:color w:val="943634" w:themeColor="accent2" w:themeShade="BF"/>
          <w:sz w:val="26"/>
          <w:szCs w:val="26"/>
          <w:lang w:val="es-MX"/>
        </w:rPr>
      </w:pPr>
    </w:p>
    <w:p w:rsidR="00F14DC1" w:rsidRDefault="00F14DC1" w:rsidP="00747A44">
      <w:pPr>
        <w:jc w:val="both"/>
        <w:rPr>
          <w:rFonts w:ascii="Times New Roman" w:hAnsi="Times New Roman"/>
          <w:i/>
          <w:color w:val="943634" w:themeColor="accent2" w:themeShade="BF"/>
          <w:sz w:val="26"/>
          <w:szCs w:val="26"/>
          <w:lang w:val="es-MX"/>
        </w:rPr>
      </w:pPr>
    </w:p>
    <w:p w:rsidR="00747A44" w:rsidRPr="00146A37" w:rsidRDefault="00146A37" w:rsidP="00747A44">
      <w:pPr>
        <w:jc w:val="both"/>
        <w:rPr>
          <w:rFonts w:ascii="Times New Roman" w:hAnsi="Times New Roman"/>
          <w:b/>
          <w:i/>
          <w:color w:val="943634" w:themeColor="accent2" w:themeShade="BF"/>
          <w:sz w:val="26"/>
          <w:szCs w:val="26"/>
          <w:u w:val="single"/>
          <w:lang w:val="es-MX"/>
        </w:rPr>
      </w:pPr>
      <w:r w:rsidRPr="00146A37">
        <w:rPr>
          <w:rFonts w:ascii="Times New Roman" w:hAnsi="Times New Roman"/>
          <w:i/>
          <w:color w:val="943634" w:themeColor="accent2" w:themeShade="BF"/>
          <w:sz w:val="26"/>
          <w:szCs w:val="26"/>
          <w:lang w:val="es-MX"/>
        </w:rPr>
        <w:t xml:space="preserve">   </w:t>
      </w:r>
      <w:r w:rsidR="00747A44" w:rsidRPr="00146A37">
        <w:rPr>
          <w:rFonts w:ascii="Times New Roman" w:hAnsi="Times New Roman"/>
          <w:b/>
          <w:i/>
          <w:color w:val="943634" w:themeColor="accent2" w:themeShade="BF"/>
          <w:sz w:val="26"/>
          <w:szCs w:val="26"/>
          <w:lang w:val="es-MX"/>
        </w:rPr>
        <w:t xml:space="preserve"> </w:t>
      </w:r>
      <w:r w:rsidR="00747A44" w:rsidRPr="00146A37">
        <w:rPr>
          <w:rFonts w:ascii="Times New Roman" w:hAnsi="Times New Roman"/>
          <w:b/>
          <w:i/>
          <w:color w:val="943634" w:themeColor="accent2" w:themeShade="BF"/>
          <w:sz w:val="26"/>
          <w:szCs w:val="26"/>
          <w:u w:val="single"/>
          <w:lang w:val="es-MX"/>
        </w:rPr>
        <w:t xml:space="preserve">Estados e información financiera a generar por </w:t>
      </w:r>
      <w:r w:rsidRPr="00146A37">
        <w:rPr>
          <w:rFonts w:ascii="Times New Roman" w:hAnsi="Times New Roman"/>
          <w:b/>
          <w:i/>
          <w:color w:val="943634" w:themeColor="accent2" w:themeShade="BF"/>
          <w:sz w:val="26"/>
          <w:szCs w:val="26"/>
          <w:u w:val="single"/>
          <w:lang w:val="es-MX"/>
        </w:rPr>
        <w:t>el ente público</w:t>
      </w:r>
      <w:r w:rsidR="00747A44" w:rsidRPr="00146A37">
        <w:rPr>
          <w:rFonts w:ascii="Times New Roman" w:hAnsi="Times New Roman"/>
          <w:b/>
          <w:i/>
          <w:color w:val="943634" w:themeColor="accent2" w:themeShade="BF"/>
          <w:sz w:val="26"/>
          <w:szCs w:val="26"/>
          <w:u w:val="single"/>
          <w:lang w:val="es-MX"/>
        </w:rPr>
        <w:t xml:space="preserve"> </w:t>
      </w:r>
    </w:p>
    <w:p w:rsid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lastRenderedPageBreak/>
        <w:t xml:space="preserve">     De acuerdo con la estructura que establecen los artículos 46, 47 y 48 de la Ley de Contabilidad, los sistemas contables de</w:t>
      </w:r>
      <w:r w:rsidR="00146A37" w:rsidRPr="00146A37">
        <w:rPr>
          <w:rFonts w:ascii="Times New Roman" w:hAnsi="Times New Roman"/>
          <w:sz w:val="26"/>
          <w:szCs w:val="26"/>
          <w:lang w:val="es-MX"/>
        </w:rPr>
        <w:t>l ente</w:t>
      </w:r>
      <w:r w:rsidRPr="00146A37">
        <w:rPr>
          <w:rFonts w:ascii="Times New Roman" w:hAnsi="Times New Roman"/>
          <w:sz w:val="26"/>
          <w:szCs w:val="26"/>
          <w:lang w:val="es-MX"/>
        </w:rPr>
        <w:t xml:space="preserve">, </w:t>
      </w:r>
      <w:r w:rsidR="00146A37" w:rsidRPr="00146A37">
        <w:rPr>
          <w:rFonts w:ascii="Times New Roman" w:hAnsi="Times New Roman"/>
          <w:sz w:val="26"/>
          <w:szCs w:val="26"/>
          <w:lang w:val="es-MX"/>
        </w:rPr>
        <w:t xml:space="preserve">deberán </w:t>
      </w:r>
      <w:r w:rsidRPr="00146A37">
        <w:rPr>
          <w:rFonts w:ascii="Times New Roman" w:hAnsi="Times New Roman"/>
          <w:sz w:val="26"/>
          <w:szCs w:val="26"/>
          <w:lang w:val="es-MX"/>
        </w:rPr>
        <w:t>permit</w:t>
      </w:r>
      <w:r w:rsidR="00146A37" w:rsidRPr="00146A37">
        <w:rPr>
          <w:rFonts w:ascii="Times New Roman" w:hAnsi="Times New Roman"/>
          <w:sz w:val="26"/>
          <w:szCs w:val="26"/>
          <w:lang w:val="es-MX"/>
        </w:rPr>
        <w:t>ir</w:t>
      </w:r>
      <w:r w:rsidRPr="00146A37">
        <w:rPr>
          <w:rFonts w:ascii="Times New Roman" w:hAnsi="Times New Roman"/>
          <w:sz w:val="26"/>
          <w:szCs w:val="26"/>
          <w:lang w:val="es-MX"/>
        </w:rPr>
        <w:t xml:space="preserve"> la generación de los estados y la información financiera que a continuación se señala:</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I.  Información contable</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a) Estado de situación financiera;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b) Estado de variación en la hacienda pública;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c) Estado de cambios en la situación financiera;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d) Notas a los estados financieros;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e) Estado analítico del activo;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f) Estado analítico de la deuda y otros pasivos</w:t>
      </w: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II.  Información presupuestaria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a) Estado analítico de ingresos;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b) Estado analítico del ejercicio del presupuesto de egresos;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III.  Información programática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a) Gasto por categoría programática; </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b) Programas y proyectos de inversión;</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c) Indicadores de resultados</w:t>
      </w:r>
    </w:p>
    <w:p w:rsidR="00747A44" w:rsidRPr="00146A37" w:rsidRDefault="00747A44"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Notas a los estados financieros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De acuerdo con lo establecido por el Artículo 49 de la Ley de Contabilidad “las notas a los estados financieros son parte integral de los mismos; éstas deberán revelar y proporcionar información adicional y suficiente que amplíe y dé significado a los datos contenidos en los reportes…”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Otras consideraciones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Por último debe señalarse que la Ley de Contabilidad establece en su Artículo 51 que, la información financiera generada por la Universidad en cumplimiento de esta Ley, será organizada, sistematizada y difundida al menos trimestralmente en la página electrónica de internet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a más tardar 30 días después del cierre del período que corresponda, en términos de las disposiciones en materia de transparencia que le son aplicables y, en su caso, de los criterios emitidos por el Consejo. La difusión de la información vía internet no exime los informes que deben presentarse ante el Congreso del Estado.</w:t>
      </w:r>
    </w:p>
    <w:p w:rsidR="00747A44" w:rsidRDefault="00747A44" w:rsidP="00747A44">
      <w:pPr>
        <w:jc w:val="both"/>
        <w:rPr>
          <w:rFonts w:ascii="Times New Roman" w:hAnsi="Times New Roman"/>
          <w:sz w:val="26"/>
          <w:szCs w:val="26"/>
          <w:lang w:val="es-MX"/>
        </w:rPr>
      </w:pPr>
    </w:p>
    <w:p w:rsidR="00146A37" w:rsidRDefault="00146A37" w:rsidP="00747A44">
      <w:pPr>
        <w:jc w:val="both"/>
        <w:rPr>
          <w:rFonts w:ascii="Times New Roman" w:hAnsi="Times New Roman"/>
          <w:sz w:val="26"/>
          <w:szCs w:val="26"/>
          <w:lang w:val="es-MX"/>
        </w:rPr>
      </w:pP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sz w:val="26"/>
          <w:szCs w:val="26"/>
          <w:lang w:val="es-MX"/>
        </w:rPr>
      </w:pPr>
    </w:p>
    <w:p w:rsidR="00747A44" w:rsidRDefault="00747A44" w:rsidP="00747A44">
      <w:pPr>
        <w:jc w:val="both"/>
        <w:rPr>
          <w:rFonts w:ascii="Times New Roman" w:hAnsi="Times New Roman"/>
          <w:b/>
          <w:i/>
          <w:color w:val="943634" w:themeColor="accent2" w:themeShade="BF"/>
          <w:sz w:val="26"/>
          <w:szCs w:val="26"/>
          <w:u w:val="single"/>
          <w:lang w:val="es-MX"/>
        </w:rPr>
      </w:pPr>
      <w:r w:rsidRPr="00146A37">
        <w:rPr>
          <w:rFonts w:ascii="Times New Roman" w:hAnsi="Times New Roman"/>
          <w:b/>
          <w:i/>
          <w:color w:val="943634" w:themeColor="accent2" w:themeShade="BF"/>
          <w:sz w:val="26"/>
          <w:szCs w:val="26"/>
          <w:u w:val="single"/>
          <w:lang w:val="es-MX"/>
        </w:rPr>
        <w:t>Estructura básica de los principales estados financieros a generar por los entes públicos</w:t>
      </w:r>
    </w:p>
    <w:p w:rsidR="00F14DC1" w:rsidRPr="00146A37" w:rsidRDefault="00F14DC1" w:rsidP="00747A44">
      <w:pPr>
        <w:jc w:val="both"/>
        <w:rPr>
          <w:rFonts w:ascii="Times New Roman" w:hAnsi="Times New Roman"/>
          <w:b/>
          <w:i/>
          <w:color w:val="943634" w:themeColor="accent2" w:themeShade="BF"/>
          <w:sz w:val="26"/>
          <w:szCs w:val="26"/>
          <w:u w:val="single"/>
          <w:lang w:val="es-MX"/>
        </w:rPr>
      </w:pP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lastRenderedPageBreak/>
        <w:t xml:space="preserve">       La estructura de la información financiera de esta Universidad se sujeta a la normatividad emitida por el CONAC y en lo procedente atiende los requerimientos de los usuarios para llevar a cabo el seguimiento, la fiscalización y la evaluación. </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A continuación se mencionan algunos aspectos de la estructura básica de los principales estados financieros.</w:t>
      </w:r>
    </w:p>
    <w:p w:rsidR="00747A44" w:rsidRPr="00146A37" w:rsidRDefault="00747A44"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Los estados contables muestran:</w:t>
      </w:r>
    </w:p>
    <w:p w:rsidR="00146A37" w:rsidRPr="00146A37" w:rsidRDefault="00146A37" w:rsidP="00747A44">
      <w:pPr>
        <w:jc w:val="both"/>
        <w:rPr>
          <w:rFonts w:ascii="Times New Roman" w:hAnsi="Times New Roman"/>
          <w:b/>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Estado de situación financiera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los recursos y obligaciones de un ente público, a una fecha determinada. Se estructura en Activos, Pasivos  y Patrimonio. Los activos están ordenados de acuerdo con su disponibilidad en circulantes y no circulantes revelando sus restricciones y, los pasivos, por su exigibilidad igualmente en circulante y no circulantes, de esta manera se revelan las restricciones a las que el ente público está sujeto, así como sus riesgos financieros.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Estado de actividades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una relación resumida de los ingresos y los gastos y otras pérdidas de</w:t>
      </w:r>
      <w:r w:rsidR="00146A37" w:rsidRPr="00146A37">
        <w:rPr>
          <w:rFonts w:ascii="Times New Roman" w:hAnsi="Times New Roman"/>
          <w:sz w:val="26"/>
          <w:szCs w:val="26"/>
          <w:lang w:val="es-MX"/>
        </w:rPr>
        <w:t>l ente</w:t>
      </w:r>
      <w:r w:rsidRPr="00146A37">
        <w:rPr>
          <w:rFonts w:ascii="Times New Roman" w:hAnsi="Times New Roman"/>
          <w:sz w:val="26"/>
          <w:szCs w:val="26"/>
          <w:lang w:val="es-MX"/>
        </w:rPr>
        <w:t xml:space="preserve"> durante un período determinado, cuya diferencia positiva o negativa determina el ahorro o desahorro (resultado) del ejercicio. Asimismo su estructura presenta información correspondiente al periodo actual y al inmediato anterior con el objetivo de mostrar las variaciones en los saldos de las cuentas que integran la estructura del mismo y facilitar su análisis.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Estado de variaciones en el patrimonio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los cambios que sufrieron los distintos elementos que componen el Patrimonio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entre el inicio y el final del periodo. Además de mostrar esas variaciones, explicar y analizar cada una de ellas.</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Estado de flujos de efectivo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los flujos de efectivo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xml:space="preserve"> identificando las fuentes de entradas y salidas de recursos, asimismo, proporciona una base para evaluar la capacidad de</w:t>
      </w:r>
      <w:r w:rsidR="00146A37" w:rsidRPr="00146A37">
        <w:rPr>
          <w:rFonts w:ascii="Times New Roman" w:hAnsi="Times New Roman"/>
          <w:sz w:val="26"/>
          <w:szCs w:val="26"/>
          <w:lang w:val="es-MX"/>
        </w:rPr>
        <w:t>l ente</w:t>
      </w:r>
      <w:r w:rsidRPr="00146A37">
        <w:rPr>
          <w:rFonts w:ascii="Times New Roman" w:hAnsi="Times New Roman"/>
          <w:sz w:val="26"/>
          <w:szCs w:val="26"/>
          <w:lang w:val="es-MX"/>
        </w:rPr>
        <w:t xml:space="preserve"> para generar efectivo y equivalentes de efectivo y equivalentes de efectivo, y su capacidad para utilizar los flujos derivados de ellos.</w:t>
      </w:r>
    </w:p>
    <w:p w:rsidR="00A53ED8" w:rsidRPr="00146A37" w:rsidRDefault="00A53ED8"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 xml:space="preserve"> Estado analítico del activo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el comportamiento de los fondos, valores, derechos y bienes debidamente identificados y cuantificados en términos monetarios de que dispone </w:t>
      </w:r>
      <w:r w:rsidR="00146A37" w:rsidRPr="00146A37">
        <w:rPr>
          <w:rFonts w:ascii="Times New Roman" w:hAnsi="Times New Roman"/>
          <w:sz w:val="26"/>
          <w:szCs w:val="26"/>
          <w:lang w:val="es-MX"/>
        </w:rPr>
        <w:t>el ente público</w:t>
      </w:r>
      <w:r w:rsidRPr="00146A37">
        <w:rPr>
          <w:rFonts w:ascii="Times New Roman" w:hAnsi="Times New Roman"/>
          <w:sz w:val="26"/>
          <w:szCs w:val="26"/>
          <w:lang w:val="es-MX"/>
        </w:rPr>
        <w:t xml:space="preserve"> para realizar sus actividades, entre el inicio y el fin del periodo.</w:t>
      </w: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Estado analítico de la deuda y otros pasivos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las obligaciones insolutas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al inicio y fin de cada periodo, derivadas del endeudamiento de</w:t>
      </w:r>
      <w:r w:rsidR="00146A37" w:rsidRPr="00146A37">
        <w:rPr>
          <w:rFonts w:ascii="Times New Roman" w:hAnsi="Times New Roman"/>
          <w:sz w:val="26"/>
          <w:szCs w:val="26"/>
          <w:lang w:val="es-MX"/>
        </w:rPr>
        <w:t>l ente</w:t>
      </w:r>
      <w:r w:rsidRPr="00146A37">
        <w:rPr>
          <w:rFonts w:ascii="Times New Roman" w:hAnsi="Times New Roman"/>
          <w:sz w:val="26"/>
          <w:szCs w:val="26"/>
          <w:lang w:val="es-MX"/>
        </w:rPr>
        <w:t>.</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Informe sobre pasivos contingentes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 los pasivos contingentes que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     </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Notas a los estados financieros.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Las notas a los estados financieros son parte de los mismos y se clasifican en:</w:t>
      </w:r>
    </w:p>
    <w:p w:rsidR="00747A44" w:rsidRPr="00146A37" w:rsidRDefault="00747A44" w:rsidP="00747A44">
      <w:pPr>
        <w:pStyle w:val="Prrafodelista"/>
        <w:numPr>
          <w:ilvl w:val="0"/>
          <w:numId w:val="27"/>
        </w:numPr>
        <w:spacing w:after="200" w:line="276" w:lineRule="auto"/>
        <w:jc w:val="both"/>
        <w:rPr>
          <w:rFonts w:ascii="Times New Roman" w:hAnsi="Times New Roman"/>
          <w:sz w:val="26"/>
          <w:szCs w:val="26"/>
          <w:lang w:val="es-MX"/>
        </w:rPr>
      </w:pPr>
      <w:r w:rsidRPr="00146A37">
        <w:rPr>
          <w:rFonts w:ascii="Times New Roman" w:hAnsi="Times New Roman"/>
          <w:sz w:val="26"/>
          <w:szCs w:val="26"/>
          <w:lang w:val="es-MX"/>
        </w:rPr>
        <w:t>Notas de desglose</w:t>
      </w:r>
    </w:p>
    <w:p w:rsidR="00747A44" w:rsidRPr="00146A37" w:rsidRDefault="00747A44" w:rsidP="00747A44">
      <w:pPr>
        <w:pStyle w:val="Prrafodelista"/>
        <w:numPr>
          <w:ilvl w:val="0"/>
          <w:numId w:val="27"/>
        </w:numPr>
        <w:spacing w:after="200" w:line="276" w:lineRule="auto"/>
        <w:jc w:val="both"/>
        <w:rPr>
          <w:rFonts w:ascii="Times New Roman" w:hAnsi="Times New Roman"/>
          <w:sz w:val="26"/>
          <w:szCs w:val="26"/>
          <w:lang w:val="es-MX"/>
        </w:rPr>
      </w:pPr>
      <w:r w:rsidRPr="00146A37">
        <w:rPr>
          <w:rFonts w:ascii="Times New Roman" w:hAnsi="Times New Roman"/>
          <w:sz w:val="26"/>
          <w:szCs w:val="26"/>
          <w:lang w:val="es-MX"/>
        </w:rPr>
        <w:t>Notas de memoria (cuentas de orden); y</w:t>
      </w:r>
    </w:p>
    <w:p w:rsidR="00747A44" w:rsidRPr="00146A37" w:rsidRDefault="00747A44" w:rsidP="00747A44">
      <w:pPr>
        <w:pStyle w:val="Prrafodelista"/>
        <w:numPr>
          <w:ilvl w:val="0"/>
          <w:numId w:val="27"/>
        </w:numPr>
        <w:spacing w:after="200" w:line="276" w:lineRule="auto"/>
        <w:jc w:val="both"/>
        <w:rPr>
          <w:rFonts w:ascii="Times New Roman" w:hAnsi="Times New Roman"/>
          <w:sz w:val="26"/>
          <w:szCs w:val="26"/>
          <w:lang w:val="es-MX"/>
        </w:rPr>
      </w:pPr>
      <w:r w:rsidRPr="00146A37">
        <w:rPr>
          <w:rFonts w:ascii="Times New Roman" w:hAnsi="Times New Roman"/>
          <w:sz w:val="26"/>
          <w:szCs w:val="26"/>
          <w:lang w:val="es-MX"/>
        </w:rPr>
        <w:t>Notas de gestión administrativa.</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En las notas de desglose se indican aspectos específicos con relación a las cuentas integrantes de los estados contables, mientras que las notas de  memoria (cuentas de orden) se utilizan para registrar movimientos de valores que no afectan o modifican el balance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Finalmente las notas de gestión administrativa revelan información del contexto y de los aspectos económico-financieros más importantes que influyeron en las decisiones del período, y que deberán ser considerados en el análisis de los estados financieros para la mayor comprensión de los mismos y sus particularidades.</w:t>
      </w:r>
    </w:p>
    <w:p w:rsidR="000F179E" w:rsidRPr="00146A37" w:rsidRDefault="000F179E"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 xml:space="preserve"> Los estados presupuestarios muestran:</w:t>
      </w:r>
    </w:p>
    <w:p w:rsidR="00146A37"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El comportamiento de los ingresos y egresos a partir del presupuesto de Ingresos y el Presupuesto de Egresos aprobados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w:t>
      </w: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sz w:val="26"/>
          <w:szCs w:val="26"/>
          <w:lang w:val="es-MX"/>
        </w:rPr>
        <w:t xml:space="preserve">   </w:t>
      </w:r>
      <w:r w:rsidRPr="00146A37">
        <w:rPr>
          <w:rFonts w:ascii="Times New Roman" w:hAnsi="Times New Roman"/>
          <w:b/>
          <w:sz w:val="26"/>
          <w:szCs w:val="26"/>
          <w:lang w:val="es-MX"/>
        </w:rPr>
        <w:t xml:space="preserve"> Los estados del ejercicio de ingresos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Muestran por cada Rubro, Tipo, Clase y concepto de los mismos, las cifras del estimado, modificado, devengado y recaudado, en sus distintos niveles de agregación.</w:t>
      </w:r>
    </w:p>
    <w:p w:rsidR="00146A37" w:rsidRPr="00146A37" w:rsidRDefault="00146A37"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Los estados del ejercicio de egresos.</w:t>
      </w:r>
    </w:p>
    <w:p w:rsidR="00747A44"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Muestran a partir de los montos aprobados en el Presupuesto de Egresos, para cada uno de los conceptos contenidos en la clave presupuestaria, los momentos de aprobado, modificado, comprometido, devengado, ejercido y pagado, en los niveles de agregación o </w:t>
      </w:r>
      <w:proofErr w:type="spellStart"/>
      <w:r w:rsidRPr="00146A37">
        <w:rPr>
          <w:rFonts w:ascii="Times New Roman" w:hAnsi="Times New Roman"/>
          <w:sz w:val="26"/>
          <w:szCs w:val="26"/>
          <w:lang w:val="es-MX"/>
        </w:rPr>
        <w:t>parametrización</w:t>
      </w:r>
      <w:proofErr w:type="spellEnd"/>
      <w:r w:rsidRPr="00146A37">
        <w:rPr>
          <w:rFonts w:ascii="Times New Roman" w:hAnsi="Times New Roman"/>
          <w:sz w:val="26"/>
          <w:szCs w:val="26"/>
          <w:lang w:val="es-MX"/>
        </w:rPr>
        <w:t xml:space="preserve"> que el usuario requiera.</w:t>
      </w:r>
    </w:p>
    <w:p w:rsidR="000F179E" w:rsidRPr="00146A37" w:rsidRDefault="000F179E" w:rsidP="00747A44">
      <w:pPr>
        <w:jc w:val="both"/>
        <w:rPr>
          <w:rFonts w:ascii="Times New Roman" w:hAnsi="Times New Roman"/>
          <w:sz w:val="26"/>
          <w:szCs w:val="26"/>
          <w:lang w:val="es-MX"/>
        </w:rPr>
      </w:pPr>
    </w:p>
    <w:p w:rsidR="00747A44" w:rsidRPr="00146A37" w:rsidRDefault="00747A44" w:rsidP="00747A44">
      <w:pPr>
        <w:jc w:val="both"/>
        <w:rPr>
          <w:rFonts w:ascii="Times New Roman" w:hAnsi="Times New Roman"/>
          <w:b/>
          <w:sz w:val="26"/>
          <w:szCs w:val="26"/>
          <w:lang w:val="es-MX"/>
        </w:rPr>
      </w:pPr>
      <w:r w:rsidRPr="00146A37">
        <w:rPr>
          <w:rFonts w:ascii="Times New Roman" w:hAnsi="Times New Roman"/>
          <w:b/>
          <w:sz w:val="26"/>
          <w:szCs w:val="26"/>
          <w:lang w:val="es-MX"/>
        </w:rPr>
        <w:t xml:space="preserve">     Los estados de información económica muestran:</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Los montos de</w:t>
      </w:r>
      <w:r w:rsidR="00146A37" w:rsidRPr="00146A37">
        <w:rPr>
          <w:rFonts w:ascii="Times New Roman" w:hAnsi="Times New Roman"/>
          <w:sz w:val="26"/>
          <w:szCs w:val="26"/>
          <w:lang w:val="es-MX"/>
        </w:rPr>
        <w:t>l ente público</w:t>
      </w:r>
      <w:r w:rsidRPr="00146A37">
        <w:rPr>
          <w:rFonts w:ascii="Times New Roman" w:hAnsi="Times New Roman"/>
          <w:sz w:val="26"/>
          <w:szCs w:val="26"/>
          <w:lang w:val="es-MX"/>
        </w:rPr>
        <w:t xml:space="preserve"> en conceptos tales como: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 Gastos Corrientes y sus grandes componentes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 Ingresos Corrientes y sus grandes componentes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 Ahorro / (Desahorro)</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 Gastos de Capital y sus grandes componentes</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 Superávit / (Déficit)</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lastRenderedPageBreak/>
        <w:t xml:space="preserve">     . Destino del Superávit.</w:t>
      </w:r>
    </w:p>
    <w:p w:rsidR="00747A44" w:rsidRPr="00146A37" w:rsidRDefault="00747A44" w:rsidP="00747A44">
      <w:pPr>
        <w:jc w:val="both"/>
        <w:rPr>
          <w:rFonts w:ascii="Times New Roman" w:hAnsi="Times New Roman"/>
          <w:sz w:val="26"/>
          <w:szCs w:val="26"/>
          <w:lang w:val="es-MX"/>
        </w:rPr>
      </w:pPr>
      <w:r w:rsidRPr="00146A37">
        <w:rPr>
          <w:rFonts w:ascii="Times New Roman" w:hAnsi="Times New Roman"/>
          <w:sz w:val="26"/>
          <w:szCs w:val="26"/>
          <w:lang w:val="es-MX"/>
        </w:rPr>
        <w:t xml:space="preserve"> </w:t>
      </w:r>
    </w:p>
    <w:p w:rsidR="00747A44" w:rsidRDefault="00747A44" w:rsidP="00535A7A">
      <w:pPr>
        <w:jc w:val="both"/>
        <w:rPr>
          <w:rFonts w:cs="Calibri"/>
          <w:b/>
          <w:sz w:val="32"/>
          <w:szCs w:val="32"/>
          <w:lang w:val="es-MX" w:eastAsia="es-MX"/>
        </w:rPr>
      </w:pPr>
    </w:p>
    <w:p w:rsidR="00747A44" w:rsidRDefault="00747A44" w:rsidP="00535A7A">
      <w:pPr>
        <w:jc w:val="both"/>
        <w:rPr>
          <w:rFonts w:cs="Calibri"/>
          <w:b/>
          <w:sz w:val="32"/>
          <w:szCs w:val="32"/>
          <w:lang w:val="es-MX" w:eastAsia="es-MX"/>
        </w:rPr>
      </w:pPr>
    </w:p>
    <w:p w:rsidR="00747A44" w:rsidRPr="00747A44" w:rsidRDefault="00747A44" w:rsidP="00535A7A">
      <w:pPr>
        <w:jc w:val="both"/>
        <w:rPr>
          <w:rFonts w:cs="Calibri"/>
          <w:b/>
          <w:sz w:val="32"/>
          <w:szCs w:val="32"/>
          <w:lang w:val="es-MX" w:eastAsia="es-MX"/>
        </w:rPr>
      </w:pPr>
    </w:p>
    <w:p w:rsidR="003B62F2" w:rsidRDefault="003B62F2" w:rsidP="00535A7A">
      <w:pPr>
        <w:jc w:val="both"/>
        <w:rPr>
          <w:rFonts w:cs="Calibri"/>
          <w:b/>
          <w:lang w:val="es-MX" w:eastAsia="es-MX"/>
        </w:rPr>
      </w:pPr>
    </w:p>
    <w:p w:rsidR="003B62F2" w:rsidRDefault="003B62F2"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576D5D" w:rsidRDefault="00576D5D" w:rsidP="00535A7A">
      <w:pPr>
        <w:jc w:val="both"/>
        <w:rPr>
          <w:rFonts w:cs="Calibri"/>
          <w:b/>
          <w:lang w:val="es-MX" w:eastAsia="es-MX"/>
        </w:rPr>
      </w:pPr>
    </w:p>
    <w:p w:rsidR="00A53ED8" w:rsidRDefault="00A53ED8" w:rsidP="00535A7A">
      <w:pPr>
        <w:jc w:val="both"/>
        <w:rPr>
          <w:rFonts w:cs="Calibri"/>
          <w:b/>
          <w:lang w:val="es-MX" w:eastAsia="es-MX"/>
        </w:rPr>
      </w:pPr>
    </w:p>
    <w:p w:rsidR="00A53ED8" w:rsidRDefault="00A53ED8" w:rsidP="00535A7A">
      <w:pPr>
        <w:jc w:val="both"/>
        <w:rPr>
          <w:rFonts w:cs="Calibri"/>
          <w:b/>
          <w:lang w:val="es-MX" w:eastAsia="es-MX"/>
        </w:rPr>
      </w:pPr>
    </w:p>
    <w:p w:rsidR="00A53ED8" w:rsidRDefault="00A53ED8" w:rsidP="00535A7A">
      <w:pPr>
        <w:jc w:val="both"/>
        <w:rPr>
          <w:rFonts w:cs="Calibri"/>
          <w:b/>
          <w:lang w:val="es-MX" w:eastAsia="es-MX"/>
        </w:rPr>
      </w:pPr>
    </w:p>
    <w:p w:rsidR="00A53ED8" w:rsidRDefault="00A53ED8" w:rsidP="00535A7A">
      <w:pPr>
        <w:jc w:val="both"/>
        <w:rPr>
          <w:rFonts w:cs="Calibri"/>
          <w:b/>
          <w:lang w:val="es-MX" w:eastAsia="es-MX"/>
        </w:rPr>
      </w:pPr>
    </w:p>
    <w:p w:rsidR="00A53ED8" w:rsidRDefault="00A53ED8" w:rsidP="00535A7A">
      <w:pPr>
        <w:jc w:val="both"/>
        <w:rPr>
          <w:rFonts w:ascii="Arial" w:hAnsi="Arial" w:cs="Arial"/>
          <w:b/>
          <w:sz w:val="32"/>
          <w:szCs w:val="32"/>
          <w:lang w:val="es-MX" w:eastAsia="es-MX"/>
        </w:rPr>
      </w:pPr>
    </w:p>
    <w:p w:rsidR="00576D5D" w:rsidRPr="00441D54" w:rsidRDefault="00441D54" w:rsidP="00535A7A">
      <w:pPr>
        <w:jc w:val="both"/>
        <w:rPr>
          <w:rFonts w:ascii="Arial" w:hAnsi="Arial" w:cs="Arial"/>
          <w:b/>
          <w:sz w:val="32"/>
          <w:szCs w:val="32"/>
          <w:lang w:val="es-MX" w:eastAsia="es-MX"/>
        </w:rPr>
      </w:pPr>
      <w:r w:rsidRPr="00441D54">
        <w:rPr>
          <w:rFonts w:ascii="Arial" w:hAnsi="Arial" w:cs="Arial"/>
          <w:b/>
          <w:sz w:val="32"/>
          <w:szCs w:val="32"/>
          <w:lang w:val="es-MX" w:eastAsia="es-MX"/>
        </w:rPr>
        <w:t xml:space="preserve">3.5   MATRICES DE </w:t>
      </w:r>
      <w:r w:rsidR="006378AA">
        <w:rPr>
          <w:rFonts w:ascii="Arial" w:hAnsi="Arial" w:cs="Arial"/>
          <w:b/>
          <w:sz w:val="32"/>
          <w:szCs w:val="32"/>
          <w:lang w:val="es-MX" w:eastAsia="es-MX"/>
        </w:rPr>
        <w:t>CONVERSIÓ</w:t>
      </w:r>
      <w:r w:rsidRPr="00441D54">
        <w:rPr>
          <w:rFonts w:ascii="Arial" w:hAnsi="Arial" w:cs="Arial"/>
          <w:b/>
          <w:sz w:val="32"/>
          <w:szCs w:val="32"/>
          <w:lang w:val="es-MX" w:eastAsia="es-MX"/>
        </w:rPr>
        <w:t>N</w:t>
      </w:r>
    </w:p>
    <w:p w:rsidR="00441D54" w:rsidRDefault="00441D54" w:rsidP="00441D54">
      <w:pPr>
        <w:jc w:val="both"/>
        <w:rPr>
          <w:rFonts w:ascii="Times New Roman" w:hAnsi="Times New Roman"/>
          <w:lang w:val="es-MX"/>
        </w:rPr>
      </w:pPr>
    </w:p>
    <w:p w:rsidR="003B62F2" w:rsidRPr="00441D54" w:rsidRDefault="003B62F2" w:rsidP="00535A7A">
      <w:pPr>
        <w:jc w:val="both"/>
        <w:rPr>
          <w:rFonts w:ascii="Arial" w:hAnsi="Arial" w:cs="Arial"/>
          <w:b/>
          <w:sz w:val="32"/>
          <w:szCs w:val="32"/>
          <w:lang w:val="es-MX" w:eastAsia="es-MX"/>
        </w:rPr>
      </w:pPr>
    </w:p>
    <w:p w:rsidR="0056358F"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sidRPr="00441D54">
        <w:rPr>
          <w:sz w:val="28"/>
          <w:szCs w:val="28"/>
          <w:lang w:val="es-MX"/>
        </w:rPr>
        <w:t xml:space="preserve">     </w:t>
      </w:r>
    </w:p>
    <w:p w:rsidR="00441D54" w:rsidRPr="00441D54" w:rsidRDefault="00441D54" w:rsidP="00441D54">
      <w:pPr>
        <w:pBdr>
          <w:top w:val="single" w:sz="4" w:space="1" w:color="auto"/>
          <w:left w:val="single" w:sz="4" w:space="4" w:color="auto"/>
          <w:bottom w:val="single" w:sz="4" w:space="1" w:color="auto"/>
          <w:right w:val="single" w:sz="4" w:space="5" w:color="auto"/>
        </w:pBdr>
        <w:jc w:val="both"/>
        <w:rPr>
          <w:b/>
          <w:color w:val="943634" w:themeColor="accent2" w:themeShade="BF"/>
          <w:sz w:val="28"/>
          <w:szCs w:val="28"/>
          <w:lang w:val="es-MX"/>
        </w:rPr>
      </w:pPr>
      <w:r w:rsidRPr="00441D54">
        <w:rPr>
          <w:sz w:val="28"/>
          <w:szCs w:val="28"/>
          <w:lang w:val="es-MX"/>
        </w:rPr>
        <w:t xml:space="preserve">  La matriz de conversión tiene como finalidad </w:t>
      </w:r>
      <w:r w:rsidRPr="00441D54">
        <w:rPr>
          <w:b/>
          <w:color w:val="943634" w:themeColor="accent2" w:themeShade="BF"/>
          <w:sz w:val="28"/>
          <w:szCs w:val="28"/>
          <w:lang w:val="es-MX"/>
        </w:rPr>
        <w:t>generar automáticamente los asientos en las cuentas contables a partir del registro por partida simple de las operaciones presupuestarias de ingresos y egresos.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Muestran la aplicación de la metodología para la integración de los elementos que dan origen a la conversión de los registros de las operaciones presupuestarias en contables.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Al respecto se ejemplifica como opera la matriz para cada una de las principales transacciones de origen presupuestario de ingresos y egresos.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 xml:space="preserve"> Como resultado de estas matrices es posible generar asientos, registros en libros de contabilidad y movimientos en los estados financieros, en forma automática y en tiempo real.</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Estas matrices aseguran la producción automática de asientos contables correspondientes a la Contabilidad Gubernamental mediante la alineación de los Clasificadores Presupuestarios por Objeto del Gasto y por Rubro de Ingresos, respectivamente, con el Plan de Cuentas y con las cuentas contables del ente público.</w:t>
      </w:r>
    </w:p>
    <w:p w:rsidR="00441D54" w:rsidRPr="005E1F26"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sidRPr="00691EC2">
        <w:rPr>
          <w:sz w:val="28"/>
          <w:szCs w:val="28"/>
          <w:lang w:val="es-MX"/>
        </w:rPr>
        <w:t>Las matrices son las siguientes: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Matriz de conversión Pagado de Gastos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Matriz de conversión Devengado de Gastos</w:t>
      </w:r>
    </w:p>
    <w:p w:rsidR="00441D54"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Matriz de conversión Ingresos Devengados</w:t>
      </w:r>
    </w:p>
    <w:p w:rsidR="00441D54" w:rsidRPr="00691EC2" w:rsidRDefault="00441D54" w:rsidP="00441D54">
      <w:pPr>
        <w:pBdr>
          <w:top w:val="single" w:sz="4" w:space="1" w:color="auto"/>
          <w:left w:val="single" w:sz="4" w:space="4" w:color="auto"/>
          <w:bottom w:val="single" w:sz="4" w:space="1" w:color="auto"/>
          <w:right w:val="single" w:sz="4" w:space="5" w:color="auto"/>
        </w:pBdr>
        <w:jc w:val="both"/>
        <w:rPr>
          <w:sz w:val="28"/>
          <w:szCs w:val="28"/>
          <w:lang w:val="es-MX"/>
        </w:rPr>
      </w:pPr>
      <w:r>
        <w:rPr>
          <w:sz w:val="28"/>
          <w:szCs w:val="28"/>
          <w:lang w:val="es-MX"/>
        </w:rPr>
        <w:t>Matriz de conversión Ingresos Recaudados</w:t>
      </w:r>
    </w:p>
    <w:p w:rsidR="003B62F2" w:rsidRPr="00535A7A" w:rsidRDefault="003B62F2" w:rsidP="00535A7A">
      <w:pPr>
        <w:jc w:val="both"/>
        <w:rPr>
          <w:rFonts w:cs="Calibri"/>
          <w:b/>
          <w:lang w:val="es-MX" w:eastAsia="es-MX"/>
        </w:rPr>
      </w:pPr>
    </w:p>
    <w:p w:rsidR="00535A7A" w:rsidRDefault="00441D54" w:rsidP="00CB0E8E">
      <w:pPr>
        <w:jc w:val="both"/>
        <w:rPr>
          <w:rFonts w:cs="Calibri"/>
          <w:b/>
          <w:sz w:val="32"/>
          <w:szCs w:val="32"/>
          <w:lang w:val="es-MX" w:eastAsia="es-MX"/>
        </w:rPr>
      </w:pPr>
      <w:r>
        <w:rPr>
          <w:rFonts w:cs="Calibri"/>
          <w:b/>
          <w:noProof/>
          <w:sz w:val="32"/>
          <w:szCs w:val="32"/>
          <w:lang w:val="es-MX" w:eastAsia="es-MX"/>
        </w:rPr>
        <w:lastRenderedPageBreak/>
        <w:drawing>
          <wp:inline distT="0" distB="0" distL="0" distR="0">
            <wp:extent cx="5810250" cy="3429000"/>
            <wp:effectExtent l="19050" t="0" r="0" b="0"/>
            <wp:docPr id="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srcRect/>
                    <a:stretch>
                      <a:fillRect/>
                    </a:stretch>
                  </pic:blipFill>
                  <pic:spPr bwMode="auto">
                    <a:xfrm>
                      <a:off x="0" y="0"/>
                      <a:ext cx="5810250" cy="3429000"/>
                    </a:xfrm>
                    <a:prstGeom prst="rect">
                      <a:avLst/>
                    </a:prstGeom>
                    <a:noFill/>
                  </pic:spPr>
                </pic:pic>
              </a:graphicData>
            </a:graphic>
          </wp:inline>
        </w:drawing>
      </w:r>
    </w:p>
    <w:p w:rsidR="009A176E" w:rsidRDefault="00441D54" w:rsidP="00CB0E8E">
      <w:pPr>
        <w:jc w:val="both"/>
        <w:rPr>
          <w:rFonts w:cs="Calibri"/>
          <w:b/>
          <w:sz w:val="32"/>
          <w:szCs w:val="32"/>
          <w:lang w:val="es-MX" w:eastAsia="es-MX"/>
        </w:rPr>
      </w:pPr>
      <w:r>
        <w:rPr>
          <w:rFonts w:cs="Calibri"/>
          <w:b/>
          <w:noProof/>
          <w:sz w:val="32"/>
          <w:szCs w:val="32"/>
          <w:lang w:val="es-MX" w:eastAsia="es-MX"/>
        </w:rPr>
        <w:drawing>
          <wp:inline distT="0" distB="0" distL="0" distR="0">
            <wp:extent cx="5934075" cy="4572000"/>
            <wp:effectExtent l="19050" t="0" r="9525" b="0"/>
            <wp:docPr id="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srcRect/>
                    <a:stretch>
                      <a:fillRect/>
                    </a:stretch>
                  </pic:blipFill>
                  <pic:spPr bwMode="auto">
                    <a:xfrm>
                      <a:off x="0" y="0"/>
                      <a:ext cx="5934075" cy="4572000"/>
                    </a:xfrm>
                    <a:prstGeom prst="rect">
                      <a:avLst/>
                    </a:prstGeom>
                    <a:noFill/>
                  </pic:spPr>
                </pic:pic>
              </a:graphicData>
            </a:graphic>
          </wp:inline>
        </w:drawing>
      </w:r>
    </w:p>
    <w:p w:rsidR="0056358F" w:rsidRDefault="0056358F" w:rsidP="00CB0E8E">
      <w:pPr>
        <w:jc w:val="both"/>
        <w:rPr>
          <w:rFonts w:cs="Calibri"/>
          <w:b/>
          <w:sz w:val="32"/>
          <w:szCs w:val="32"/>
          <w:lang w:val="es-MX" w:eastAsia="es-MX"/>
        </w:rPr>
      </w:pPr>
    </w:p>
    <w:p w:rsidR="0056358F" w:rsidRDefault="0056358F" w:rsidP="00CB0E8E">
      <w:pPr>
        <w:jc w:val="both"/>
        <w:rPr>
          <w:rFonts w:cs="Calibri"/>
          <w:b/>
          <w:noProof/>
          <w:sz w:val="32"/>
          <w:szCs w:val="32"/>
          <w:lang w:val="es-MX" w:eastAsia="es-MX"/>
        </w:rPr>
      </w:pPr>
      <w:r w:rsidRPr="0056358F">
        <w:rPr>
          <w:rFonts w:cs="Calibri"/>
          <w:b/>
          <w:noProof/>
          <w:sz w:val="32"/>
          <w:szCs w:val="32"/>
          <w:lang w:val="es-MX" w:eastAsia="es-MX"/>
        </w:rPr>
        <w:drawing>
          <wp:inline distT="0" distB="0" distL="0" distR="0">
            <wp:extent cx="5934075" cy="3638550"/>
            <wp:effectExtent l="19050" t="0" r="9525" b="0"/>
            <wp:docPr id="11"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srcRect/>
                    <a:stretch>
                      <a:fillRect/>
                    </a:stretch>
                  </pic:blipFill>
                  <pic:spPr bwMode="auto">
                    <a:xfrm>
                      <a:off x="0" y="0"/>
                      <a:ext cx="5934075" cy="3638550"/>
                    </a:xfrm>
                    <a:prstGeom prst="rect">
                      <a:avLst/>
                    </a:prstGeom>
                    <a:noFill/>
                  </pic:spPr>
                </pic:pic>
              </a:graphicData>
            </a:graphic>
          </wp:inline>
        </w:drawing>
      </w:r>
      <w:r w:rsidRPr="0056358F">
        <w:rPr>
          <w:rFonts w:cs="Calibri"/>
          <w:b/>
          <w:noProof/>
          <w:sz w:val="32"/>
          <w:szCs w:val="32"/>
          <w:lang w:val="es-MX" w:eastAsia="es-MX"/>
        </w:rPr>
        <w:t xml:space="preserve"> </w:t>
      </w:r>
    </w:p>
    <w:p w:rsidR="00441D54" w:rsidRDefault="0056358F" w:rsidP="00CB0E8E">
      <w:pPr>
        <w:jc w:val="both"/>
        <w:rPr>
          <w:rFonts w:cs="Calibri"/>
          <w:b/>
          <w:sz w:val="32"/>
          <w:szCs w:val="32"/>
          <w:lang w:val="es-MX" w:eastAsia="es-MX"/>
        </w:rPr>
      </w:pPr>
      <w:r w:rsidRPr="0056358F">
        <w:rPr>
          <w:rFonts w:cs="Calibri"/>
          <w:b/>
          <w:noProof/>
          <w:sz w:val="32"/>
          <w:szCs w:val="32"/>
          <w:lang w:val="es-MX" w:eastAsia="es-MX"/>
        </w:rPr>
        <w:drawing>
          <wp:inline distT="0" distB="0" distL="0" distR="0">
            <wp:extent cx="5940425" cy="3378441"/>
            <wp:effectExtent l="19050" t="0" r="3175" b="0"/>
            <wp:docPr id="12"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srcRect/>
                    <a:stretch>
                      <a:fillRect/>
                    </a:stretch>
                  </pic:blipFill>
                  <pic:spPr bwMode="auto">
                    <a:xfrm>
                      <a:off x="0" y="0"/>
                      <a:ext cx="5940425" cy="3378441"/>
                    </a:xfrm>
                    <a:prstGeom prst="rect">
                      <a:avLst/>
                    </a:prstGeom>
                    <a:noFill/>
                  </pic:spPr>
                </pic:pic>
              </a:graphicData>
            </a:graphic>
          </wp:inline>
        </w:drawing>
      </w:r>
      <w:r w:rsidR="00AE6480" w:rsidRPr="00A405AF">
        <w:rPr>
          <w:rFonts w:cs="Calibri"/>
          <w:b/>
          <w:sz w:val="32"/>
          <w:szCs w:val="32"/>
          <w:lang w:val="es-MX" w:eastAsia="es-MX"/>
        </w:rPr>
        <w:tab/>
      </w:r>
    </w:p>
    <w:p w:rsidR="00441D54" w:rsidRDefault="00441D54" w:rsidP="00CB0E8E">
      <w:pPr>
        <w:jc w:val="both"/>
        <w:rPr>
          <w:rFonts w:cs="Calibri"/>
          <w:b/>
          <w:sz w:val="32"/>
          <w:szCs w:val="32"/>
          <w:lang w:val="es-MX" w:eastAsia="es-MX"/>
        </w:rPr>
      </w:pPr>
      <w:r w:rsidRPr="00441D54">
        <w:rPr>
          <w:noProof/>
          <w:szCs w:val="32"/>
          <w:lang w:val="es-MX" w:eastAsia="es-MX"/>
        </w:rPr>
        <w:lastRenderedPageBreak/>
        <w:drawing>
          <wp:inline distT="0" distB="0" distL="0" distR="0">
            <wp:extent cx="5940425" cy="3826490"/>
            <wp:effectExtent l="1905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a:srcRect/>
                    <a:stretch>
                      <a:fillRect/>
                    </a:stretch>
                  </pic:blipFill>
                  <pic:spPr bwMode="auto">
                    <a:xfrm>
                      <a:off x="0" y="0"/>
                      <a:ext cx="5940425" cy="3826490"/>
                    </a:xfrm>
                    <a:prstGeom prst="rect">
                      <a:avLst/>
                    </a:prstGeom>
                    <a:noFill/>
                    <a:ln w="9525">
                      <a:noFill/>
                      <a:miter lim="800000"/>
                      <a:headEnd/>
                      <a:tailEnd/>
                    </a:ln>
                  </pic:spPr>
                </pic:pic>
              </a:graphicData>
            </a:graphic>
          </wp:inline>
        </w:drawing>
      </w:r>
    </w:p>
    <w:p w:rsidR="00FA4EC1" w:rsidRDefault="00FA4EC1" w:rsidP="00CB0E8E">
      <w:pPr>
        <w:jc w:val="both"/>
        <w:rPr>
          <w:szCs w:val="32"/>
        </w:rPr>
      </w:pPr>
    </w:p>
    <w:p w:rsidR="00FA4EC1" w:rsidRPr="00FA4EC1" w:rsidRDefault="00FA4EC1" w:rsidP="00CB0E8E">
      <w:pPr>
        <w:jc w:val="both"/>
        <w:rPr>
          <w:szCs w:val="32"/>
          <w:lang w:val="es-MX"/>
        </w:rPr>
      </w:pPr>
      <w:r w:rsidRPr="00FA4EC1">
        <w:rPr>
          <w:noProof/>
          <w:szCs w:val="32"/>
          <w:lang w:val="es-MX" w:eastAsia="es-MX"/>
        </w:rPr>
        <w:drawing>
          <wp:inline distT="0" distB="0" distL="0" distR="0">
            <wp:extent cx="5933388" cy="356235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srcRect/>
                    <a:stretch>
                      <a:fillRect/>
                    </a:stretch>
                  </pic:blipFill>
                  <pic:spPr bwMode="auto">
                    <a:xfrm>
                      <a:off x="0" y="0"/>
                      <a:ext cx="5940425" cy="3566575"/>
                    </a:xfrm>
                    <a:prstGeom prst="rect">
                      <a:avLst/>
                    </a:prstGeom>
                    <a:noFill/>
                    <a:ln w="9525">
                      <a:noFill/>
                      <a:miter lim="800000"/>
                      <a:headEnd/>
                      <a:tailEnd/>
                    </a:ln>
                  </pic:spPr>
                </pic:pic>
              </a:graphicData>
            </a:graphic>
          </wp:inline>
        </w:drawing>
      </w:r>
    </w:p>
    <w:p w:rsidR="00441D54" w:rsidRDefault="00441D54" w:rsidP="00CB0E8E">
      <w:pPr>
        <w:jc w:val="both"/>
        <w:rPr>
          <w:rFonts w:cs="Calibri"/>
          <w:b/>
          <w:sz w:val="32"/>
          <w:szCs w:val="32"/>
          <w:lang w:val="es-MX" w:eastAsia="es-MX"/>
        </w:rPr>
      </w:pPr>
    </w:p>
    <w:p w:rsidR="00441D54" w:rsidRDefault="00441D54" w:rsidP="00CB0E8E">
      <w:pPr>
        <w:jc w:val="both"/>
        <w:rPr>
          <w:rFonts w:cs="Calibri"/>
          <w:b/>
          <w:sz w:val="32"/>
          <w:szCs w:val="32"/>
          <w:lang w:val="es-MX" w:eastAsia="es-MX"/>
        </w:rPr>
      </w:pPr>
      <w:r>
        <w:rPr>
          <w:rFonts w:cs="Calibri"/>
          <w:b/>
          <w:noProof/>
          <w:sz w:val="32"/>
          <w:szCs w:val="32"/>
          <w:lang w:val="es-MX" w:eastAsia="es-MX"/>
        </w:rPr>
        <w:lastRenderedPageBreak/>
        <w:drawing>
          <wp:inline distT="0" distB="0" distL="0" distR="0">
            <wp:extent cx="5829300" cy="3600450"/>
            <wp:effectExtent l="19050" t="0" r="0" b="0"/>
            <wp:docPr id="4"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a:srcRect/>
                    <a:stretch>
                      <a:fillRect/>
                    </a:stretch>
                  </pic:blipFill>
                  <pic:spPr bwMode="auto">
                    <a:xfrm>
                      <a:off x="0" y="0"/>
                      <a:ext cx="5829300" cy="3600450"/>
                    </a:xfrm>
                    <a:prstGeom prst="rect">
                      <a:avLst/>
                    </a:prstGeom>
                    <a:noFill/>
                  </pic:spPr>
                </pic:pic>
              </a:graphicData>
            </a:graphic>
          </wp:inline>
        </w:drawing>
      </w:r>
    </w:p>
    <w:p w:rsidR="00441D54" w:rsidRDefault="00441D54" w:rsidP="00CB0E8E">
      <w:pPr>
        <w:jc w:val="both"/>
        <w:rPr>
          <w:rFonts w:cs="Calibri"/>
          <w:b/>
          <w:sz w:val="32"/>
          <w:szCs w:val="32"/>
          <w:lang w:val="es-MX" w:eastAsia="es-MX"/>
        </w:rPr>
      </w:pPr>
      <w:r>
        <w:rPr>
          <w:rFonts w:cs="Calibri"/>
          <w:b/>
          <w:noProof/>
          <w:sz w:val="32"/>
          <w:szCs w:val="32"/>
          <w:lang w:val="es-MX" w:eastAsia="es-MX"/>
        </w:rPr>
        <w:drawing>
          <wp:inline distT="0" distB="0" distL="0" distR="0">
            <wp:extent cx="5829300" cy="4162425"/>
            <wp:effectExtent l="19050" t="0" r="0" b="0"/>
            <wp:docPr id="5"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srcRect/>
                    <a:stretch>
                      <a:fillRect/>
                    </a:stretch>
                  </pic:blipFill>
                  <pic:spPr bwMode="auto">
                    <a:xfrm>
                      <a:off x="0" y="0"/>
                      <a:ext cx="5829300" cy="4162425"/>
                    </a:xfrm>
                    <a:prstGeom prst="rect">
                      <a:avLst/>
                    </a:prstGeom>
                    <a:noFill/>
                  </pic:spPr>
                </pic:pic>
              </a:graphicData>
            </a:graphic>
          </wp:inline>
        </w:drawing>
      </w:r>
    </w:p>
    <w:p w:rsidR="00441D54" w:rsidRDefault="00441D54" w:rsidP="00CB0E8E">
      <w:pPr>
        <w:jc w:val="both"/>
        <w:rPr>
          <w:rFonts w:cs="Calibri"/>
          <w:b/>
          <w:sz w:val="32"/>
          <w:szCs w:val="32"/>
          <w:lang w:val="es-MX" w:eastAsia="es-MX"/>
        </w:rPr>
      </w:pPr>
    </w:p>
    <w:p w:rsidR="00441D54" w:rsidRDefault="00441D54" w:rsidP="00CB0E8E">
      <w:pPr>
        <w:jc w:val="both"/>
        <w:rPr>
          <w:rFonts w:cs="Calibri"/>
          <w:b/>
          <w:sz w:val="32"/>
          <w:szCs w:val="32"/>
          <w:lang w:val="es-MX" w:eastAsia="es-MX"/>
        </w:rPr>
      </w:pPr>
      <w:r w:rsidRPr="00441D54">
        <w:rPr>
          <w:noProof/>
          <w:szCs w:val="32"/>
          <w:lang w:val="es-MX" w:eastAsia="es-MX"/>
        </w:rPr>
        <w:lastRenderedPageBreak/>
        <w:drawing>
          <wp:inline distT="0" distB="0" distL="0" distR="0">
            <wp:extent cx="5940425" cy="7547207"/>
            <wp:effectExtent l="19050" t="0" r="317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srcRect/>
                    <a:stretch>
                      <a:fillRect/>
                    </a:stretch>
                  </pic:blipFill>
                  <pic:spPr bwMode="auto">
                    <a:xfrm>
                      <a:off x="0" y="0"/>
                      <a:ext cx="5940425" cy="7547207"/>
                    </a:xfrm>
                    <a:prstGeom prst="rect">
                      <a:avLst/>
                    </a:prstGeom>
                    <a:noFill/>
                    <a:ln w="9525">
                      <a:noFill/>
                      <a:miter lim="800000"/>
                      <a:headEnd/>
                      <a:tailEnd/>
                    </a:ln>
                  </pic:spPr>
                </pic:pic>
              </a:graphicData>
            </a:graphic>
          </wp:inline>
        </w:drawing>
      </w:r>
    </w:p>
    <w:p w:rsidR="00441D54" w:rsidRDefault="00441D54" w:rsidP="00CB0E8E">
      <w:pPr>
        <w:jc w:val="both"/>
        <w:rPr>
          <w:rFonts w:cs="Calibri"/>
          <w:b/>
          <w:sz w:val="32"/>
          <w:szCs w:val="32"/>
          <w:lang w:val="es-MX" w:eastAsia="es-MX"/>
        </w:rPr>
      </w:pPr>
    </w:p>
    <w:p w:rsidR="00441D54" w:rsidRDefault="00441D54" w:rsidP="00CB0E8E">
      <w:pPr>
        <w:jc w:val="both"/>
        <w:rPr>
          <w:rFonts w:cs="Calibri"/>
          <w:b/>
          <w:sz w:val="32"/>
          <w:szCs w:val="32"/>
          <w:lang w:val="es-MX" w:eastAsia="es-MX"/>
        </w:rPr>
      </w:pPr>
      <w:r w:rsidRPr="00441D54">
        <w:rPr>
          <w:noProof/>
          <w:szCs w:val="32"/>
          <w:lang w:val="es-MX" w:eastAsia="es-MX"/>
        </w:rPr>
        <w:lastRenderedPageBreak/>
        <w:drawing>
          <wp:inline distT="0" distB="0" distL="0" distR="0">
            <wp:extent cx="5940425" cy="3033550"/>
            <wp:effectExtent l="19050" t="0" r="317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srcRect/>
                    <a:stretch>
                      <a:fillRect/>
                    </a:stretch>
                  </pic:blipFill>
                  <pic:spPr bwMode="auto">
                    <a:xfrm>
                      <a:off x="0" y="0"/>
                      <a:ext cx="5940425" cy="3033550"/>
                    </a:xfrm>
                    <a:prstGeom prst="rect">
                      <a:avLst/>
                    </a:prstGeom>
                    <a:noFill/>
                    <a:ln w="9525">
                      <a:noFill/>
                      <a:miter lim="800000"/>
                      <a:headEnd/>
                      <a:tailEnd/>
                    </a:ln>
                  </pic:spPr>
                </pic:pic>
              </a:graphicData>
            </a:graphic>
          </wp:inline>
        </w:drawing>
      </w:r>
    </w:p>
    <w:p w:rsidR="00441D54" w:rsidRDefault="00441D54" w:rsidP="00CB0E8E">
      <w:pPr>
        <w:jc w:val="both"/>
        <w:rPr>
          <w:rFonts w:cs="Calibri"/>
          <w:b/>
          <w:sz w:val="32"/>
          <w:szCs w:val="32"/>
          <w:lang w:val="es-MX" w:eastAsia="es-MX"/>
        </w:rPr>
      </w:pPr>
    </w:p>
    <w:p w:rsidR="00441D54" w:rsidRDefault="00441D54" w:rsidP="00CB0E8E">
      <w:pPr>
        <w:jc w:val="both"/>
        <w:rPr>
          <w:rFonts w:cs="Calibri"/>
          <w:b/>
          <w:sz w:val="32"/>
          <w:szCs w:val="32"/>
          <w:lang w:val="es-MX" w:eastAsia="es-MX"/>
        </w:rPr>
      </w:pPr>
    </w:p>
    <w:p w:rsidR="00441D54" w:rsidRDefault="00441D54" w:rsidP="00CB0E8E">
      <w:pPr>
        <w:jc w:val="both"/>
        <w:rPr>
          <w:rFonts w:cs="Calibri"/>
          <w:b/>
          <w:sz w:val="32"/>
          <w:szCs w:val="32"/>
          <w:lang w:val="es-MX" w:eastAsia="es-MX"/>
        </w:rPr>
      </w:pPr>
    </w:p>
    <w:p w:rsidR="00441D54" w:rsidRDefault="002009FF" w:rsidP="00CB0E8E">
      <w:pPr>
        <w:jc w:val="both"/>
        <w:rPr>
          <w:rFonts w:cs="Calibri"/>
          <w:b/>
          <w:sz w:val="32"/>
          <w:szCs w:val="32"/>
          <w:lang w:val="es-MX" w:eastAsia="es-MX"/>
        </w:rPr>
      </w:pPr>
      <w:r w:rsidRPr="002009FF">
        <w:rPr>
          <w:rFonts w:cs="Calibri"/>
          <w:b/>
          <w:noProof/>
          <w:sz w:val="32"/>
          <w:szCs w:val="32"/>
          <w:bdr w:val="triple" w:sz="4" w:space="0" w:color="auto"/>
          <w:lang w:val="es-MX" w:eastAsia="es-MX"/>
        </w:rPr>
        <w:drawing>
          <wp:inline distT="0" distB="0" distL="0" distR="0">
            <wp:extent cx="6153150" cy="3762375"/>
            <wp:effectExtent l="19050" t="0" r="0" b="0"/>
            <wp:docPr id="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8"/>
                    <a:srcRect/>
                    <a:stretch>
                      <a:fillRect/>
                    </a:stretch>
                  </pic:blipFill>
                  <pic:spPr bwMode="auto">
                    <a:xfrm>
                      <a:off x="0" y="0"/>
                      <a:ext cx="6153150" cy="3762375"/>
                    </a:xfrm>
                    <a:prstGeom prst="rect">
                      <a:avLst/>
                    </a:prstGeom>
                    <a:noFill/>
                  </pic:spPr>
                </pic:pic>
              </a:graphicData>
            </a:graphic>
          </wp:inline>
        </w:drawing>
      </w:r>
    </w:p>
    <w:p w:rsidR="00441D54" w:rsidRDefault="00441D54" w:rsidP="00CB0E8E">
      <w:pPr>
        <w:jc w:val="both"/>
        <w:rPr>
          <w:rFonts w:cs="Calibri"/>
          <w:b/>
          <w:sz w:val="32"/>
          <w:szCs w:val="32"/>
          <w:lang w:val="es-MX" w:eastAsia="es-MX"/>
        </w:rPr>
      </w:pPr>
    </w:p>
    <w:p w:rsidR="00A53ED8" w:rsidRDefault="00A53ED8" w:rsidP="00A53ED8">
      <w:pPr>
        <w:jc w:val="center"/>
        <w:rPr>
          <w:rFonts w:cs="Calibri"/>
          <w:b/>
          <w:sz w:val="32"/>
          <w:szCs w:val="32"/>
          <w:lang w:val="es-MX" w:eastAsia="es-MX"/>
        </w:rPr>
      </w:pPr>
    </w:p>
    <w:p w:rsidR="00A53ED8" w:rsidRDefault="00A53ED8" w:rsidP="00A53ED8">
      <w:pPr>
        <w:jc w:val="center"/>
        <w:rPr>
          <w:rFonts w:cs="Calibri"/>
          <w:b/>
          <w:sz w:val="32"/>
          <w:szCs w:val="32"/>
          <w:lang w:val="es-MX" w:eastAsia="es-MX"/>
        </w:rPr>
      </w:pPr>
    </w:p>
    <w:p w:rsidR="00A53ED8" w:rsidRDefault="00A53ED8" w:rsidP="00A53ED8">
      <w:pPr>
        <w:jc w:val="center"/>
        <w:rPr>
          <w:rFonts w:cs="Calibri"/>
          <w:b/>
          <w:sz w:val="32"/>
          <w:szCs w:val="32"/>
          <w:lang w:val="es-MX" w:eastAsia="es-MX"/>
        </w:rPr>
      </w:pPr>
    </w:p>
    <w:p w:rsidR="00A53ED8" w:rsidRDefault="00A53ED8" w:rsidP="00A53ED8">
      <w:pPr>
        <w:jc w:val="center"/>
        <w:rPr>
          <w:rFonts w:cs="Calibri"/>
          <w:b/>
          <w:sz w:val="32"/>
          <w:szCs w:val="32"/>
          <w:lang w:val="es-MX" w:eastAsia="es-MX"/>
        </w:rPr>
      </w:pPr>
    </w:p>
    <w:p w:rsidR="00A53ED8" w:rsidRDefault="00A53ED8" w:rsidP="00A53ED8">
      <w:pPr>
        <w:jc w:val="center"/>
        <w:rPr>
          <w:rFonts w:cs="Calibri"/>
          <w:b/>
          <w:sz w:val="32"/>
          <w:szCs w:val="32"/>
          <w:lang w:val="es-MX" w:eastAsia="es-MX"/>
        </w:rPr>
      </w:pPr>
    </w:p>
    <w:p w:rsidR="00AE6480" w:rsidRPr="00A405AF" w:rsidRDefault="006378AA" w:rsidP="00A53ED8">
      <w:pPr>
        <w:jc w:val="center"/>
        <w:rPr>
          <w:rFonts w:cs="Calibri"/>
          <w:b/>
          <w:sz w:val="32"/>
          <w:szCs w:val="32"/>
          <w:lang w:val="es-MX" w:eastAsia="es-MX"/>
        </w:rPr>
      </w:pPr>
      <w:r>
        <w:rPr>
          <w:rFonts w:cs="Calibri"/>
          <w:b/>
          <w:sz w:val="32"/>
          <w:szCs w:val="32"/>
          <w:lang w:val="es-MX" w:eastAsia="es-MX"/>
        </w:rPr>
        <w:t>CONCLUSIÓ</w:t>
      </w:r>
      <w:r w:rsidR="00A53ED8">
        <w:rPr>
          <w:rFonts w:cs="Calibri"/>
          <w:b/>
          <w:sz w:val="32"/>
          <w:szCs w:val="32"/>
          <w:lang w:val="es-MX" w:eastAsia="es-MX"/>
        </w:rPr>
        <w:t>N</w:t>
      </w:r>
    </w:p>
    <w:p w:rsidR="00895E49" w:rsidRDefault="00895E49" w:rsidP="00895E49">
      <w:pPr>
        <w:jc w:val="both"/>
        <w:rPr>
          <w:rFonts w:ascii="Arial" w:hAnsi="Arial" w:cs="Arial"/>
          <w:color w:val="000000"/>
          <w:lang w:eastAsia="es-MX"/>
        </w:rPr>
      </w:pPr>
    </w:p>
    <w:p w:rsidR="00895E49" w:rsidRDefault="00895E49" w:rsidP="00A53ED8">
      <w:pPr>
        <w:spacing w:line="360" w:lineRule="auto"/>
        <w:jc w:val="both"/>
        <w:rPr>
          <w:rFonts w:ascii="Arial" w:hAnsi="Arial" w:cs="Arial"/>
          <w:color w:val="000000"/>
          <w:lang w:eastAsia="es-MX"/>
        </w:rPr>
      </w:pPr>
      <w:r w:rsidRPr="009723BA">
        <w:rPr>
          <w:rFonts w:ascii="Arial" w:hAnsi="Arial" w:cs="Arial"/>
          <w:color w:val="000000"/>
          <w:lang w:eastAsia="es-MX"/>
        </w:rPr>
        <w:t xml:space="preserve">La contabilidad gubernamental está en constante desarrollo, por lo que </w:t>
      </w:r>
      <w:r>
        <w:rPr>
          <w:rFonts w:ascii="Arial" w:hAnsi="Arial" w:cs="Arial"/>
          <w:color w:val="000000"/>
          <w:lang w:eastAsia="es-MX"/>
        </w:rPr>
        <w:t>es</w:t>
      </w:r>
      <w:r w:rsidRPr="009723BA">
        <w:rPr>
          <w:rFonts w:ascii="Arial" w:hAnsi="Arial" w:cs="Arial"/>
          <w:color w:val="000000"/>
          <w:lang w:eastAsia="es-MX"/>
        </w:rPr>
        <w:t xml:space="preserve"> necesario  contemplar un mecanismo lo suficientemente dinámico para </w:t>
      </w:r>
      <w:r>
        <w:rPr>
          <w:rFonts w:ascii="Arial" w:hAnsi="Arial" w:cs="Arial"/>
          <w:color w:val="000000"/>
          <w:lang w:eastAsia="es-MX"/>
        </w:rPr>
        <w:t xml:space="preserve">que los entes públicos </w:t>
      </w:r>
      <w:r w:rsidRPr="009723BA">
        <w:rPr>
          <w:rFonts w:ascii="Arial" w:hAnsi="Arial" w:cs="Arial"/>
          <w:color w:val="000000"/>
          <w:lang w:eastAsia="es-MX"/>
        </w:rPr>
        <w:t xml:space="preserve"> </w:t>
      </w:r>
      <w:r>
        <w:rPr>
          <w:rFonts w:ascii="Arial" w:hAnsi="Arial" w:cs="Arial"/>
          <w:color w:val="000000"/>
          <w:lang w:eastAsia="es-MX"/>
        </w:rPr>
        <w:t xml:space="preserve">de </w:t>
      </w:r>
      <w:r w:rsidRPr="009723BA">
        <w:rPr>
          <w:rFonts w:ascii="Arial" w:hAnsi="Arial" w:cs="Arial"/>
          <w:color w:val="000000"/>
          <w:lang w:eastAsia="es-MX"/>
        </w:rPr>
        <w:t>México se ajuste</w:t>
      </w:r>
      <w:r>
        <w:rPr>
          <w:rFonts w:ascii="Arial" w:hAnsi="Arial" w:cs="Arial"/>
          <w:color w:val="000000"/>
          <w:lang w:eastAsia="es-MX"/>
        </w:rPr>
        <w:t>n</w:t>
      </w:r>
      <w:r w:rsidRPr="009723BA">
        <w:rPr>
          <w:rFonts w:ascii="Arial" w:hAnsi="Arial" w:cs="Arial"/>
          <w:color w:val="000000"/>
          <w:lang w:eastAsia="es-MX"/>
        </w:rPr>
        <w:t xml:space="preserve"> a las nuevas tendencias en la materia. Al realizar los estudios correspondientes, se advi</w:t>
      </w:r>
      <w:r>
        <w:rPr>
          <w:rFonts w:ascii="Arial" w:hAnsi="Arial" w:cs="Arial"/>
          <w:color w:val="000000"/>
          <w:lang w:eastAsia="es-MX"/>
        </w:rPr>
        <w:t>erte</w:t>
      </w:r>
      <w:r w:rsidRPr="009723BA">
        <w:rPr>
          <w:rFonts w:ascii="Arial" w:hAnsi="Arial" w:cs="Arial"/>
          <w:color w:val="000000"/>
          <w:lang w:eastAsia="es-MX"/>
        </w:rPr>
        <w:t xml:space="preserve"> que, al ser de carácter general, las disposiciones que complementen la </w:t>
      </w:r>
      <w:r w:rsidR="00F22177">
        <w:rPr>
          <w:rFonts w:ascii="Arial" w:hAnsi="Arial" w:cs="Arial"/>
          <w:color w:val="000000"/>
          <w:lang w:eastAsia="es-MX"/>
        </w:rPr>
        <w:t>L</w:t>
      </w:r>
      <w:r w:rsidRPr="009723BA">
        <w:rPr>
          <w:rFonts w:ascii="Arial" w:hAnsi="Arial" w:cs="Arial"/>
          <w:color w:val="000000"/>
          <w:lang w:eastAsia="es-MX"/>
        </w:rPr>
        <w:t xml:space="preserve">ey de </w:t>
      </w:r>
      <w:r w:rsidR="00F22177">
        <w:rPr>
          <w:rFonts w:ascii="Arial" w:hAnsi="Arial" w:cs="Arial"/>
          <w:color w:val="000000"/>
          <w:lang w:eastAsia="es-MX"/>
        </w:rPr>
        <w:t>C</w:t>
      </w:r>
      <w:r w:rsidRPr="009723BA">
        <w:rPr>
          <w:rFonts w:ascii="Arial" w:hAnsi="Arial" w:cs="Arial"/>
          <w:color w:val="000000"/>
          <w:lang w:eastAsia="es-MX"/>
        </w:rPr>
        <w:t xml:space="preserve">ontabilidad </w:t>
      </w:r>
      <w:r w:rsidR="00F22177">
        <w:rPr>
          <w:rFonts w:ascii="Arial" w:hAnsi="Arial" w:cs="Arial"/>
          <w:color w:val="000000"/>
          <w:lang w:eastAsia="es-MX"/>
        </w:rPr>
        <w:t>G</w:t>
      </w:r>
      <w:r w:rsidRPr="009723BA">
        <w:rPr>
          <w:rFonts w:ascii="Arial" w:hAnsi="Arial" w:cs="Arial"/>
          <w:color w:val="000000"/>
          <w:lang w:eastAsia="es-MX"/>
        </w:rPr>
        <w:t>ubernamental  adqui</w:t>
      </w:r>
      <w:r>
        <w:rPr>
          <w:rFonts w:ascii="Arial" w:hAnsi="Arial" w:cs="Arial"/>
          <w:color w:val="000000"/>
          <w:lang w:eastAsia="es-MX"/>
        </w:rPr>
        <w:t>eren</w:t>
      </w:r>
      <w:r w:rsidRPr="009723BA">
        <w:rPr>
          <w:rFonts w:ascii="Arial" w:hAnsi="Arial" w:cs="Arial"/>
          <w:color w:val="000000"/>
          <w:lang w:eastAsia="es-MX"/>
        </w:rPr>
        <w:t xml:space="preserve"> fuerza legal en los tres órdenes de gobierno.</w:t>
      </w:r>
    </w:p>
    <w:p w:rsidR="00895E49" w:rsidRPr="00F476BF" w:rsidRDefault="00895E49" w:rsidP="00A53ED8">
      <w:pPr>
        <w:spacing w:line="360" w:lineRule="auto"/>
        <w:jc w:val="both"/>
        <w:rPr>
          <w:rFonts w:ascii="Arial" w:hAnsi="Arial" w:cs="Arial"/>
          <w:b/>
          <w:color w:val="000000"/>
          <w:lang w:eastAsia="es-MX"/>
        </w:rPr>
      </w:pPr>
    </w:p>
    <w:p w:rsidR="00895E49" w:rsidRDefault="00895E49" w:rsidP="00A53ED8">
      <w:pPr>
        <w:spacing w:line="360" w:lineRule="auto"/>
        <w:jc w:val="both"/>
        <w:rPr>
          <w:rFonts w:ascii="Arial" w:hAnsi="Arial" w:cs="Arial"/>
          <w:color w:val="000000"/>
          <w:lang w:eastAsia="es-MX"/>
        </w:rPr>
      </w:pPr>
      <w:r w:rsidRPr="009723BA">
        <w:rPr>
          <w:rFonts w:ascii="Arial" w:hAnsi="Arial" w:cs="Arial"/>
          <w:color w:val="000000"/>
          <w:lang w:eastAsia="es-MX"/>
        </w:rPr>
        <w:t xml:space="preserve">Con independencia de que la información en materia contable y presupuestaria se encuentra sujeta a las disposiciones aplicables en materia de transparencia, la </w:t>
      </w:r>
      <w:r>
        <w:rPr>
          <w:rFonts w:ascii="Arial" w:hAnsi="Arial" w:cs="Arial"/>
          <w:color w:val="000000"/>
          <w:lang w:eastAsia="es-MX"/>
        </w:rPr>
        <w:t>Ley General de Contabilidad Gubernamental obliga a</w:t>
      </w:r>
      <w:r w:rsidRPr="009723BA">
        <w:rPr>
          <w:rFonts w:ascii="Arial" w:hAnsi="Arial" w:cs="Arial"/>
          <w:color w:val="000000"/>
          <w:lang w:eastAsia="es-MX"/>
        </w:rPr>
        <w:t xml:space="preserve"> que los entes públicos de los tres órdenes de gobierno organicen, sistematicen y difundan la información que generen, al menos, trimestralmente en sus respectivas páginas electrónicas de Internet. Asimismo, esta obligación</w:t>
      </w:r>
      <w:r>
        <w:rPr>
          <w:rFonts w:ascii="Arial" w:hAnsi="Arial" w:cs="Arial"/>
          <w:color w:val="000000"/>
          <w:lang w:eastAsia="es-MX"/>
        </w:rPr>
        <w:t xml:space="preserve"> deberá cumplirse</w:t>
      </w:r>
      <w:r w:rsidRPr="009723BA">
        <w:rPr>
          <w:rFonts w:ascii="Arial" w:hAnsi="Arial" w:cs="Arial"/>
          <w:color w:val="000000"/>
          <w:lang w:eastAsia="es-MX"/>
        </w:rPr>
        <w:t xml:space="preserve"> con independencia de las obligaciones que los Ejecutivos federal, locales y municipales tengan de reportar a sus respectivos poderes legislativos.</w:t>
      </w:r>
    </w:p>
    <w:p w:rsidR="00895E49" w:rsidRPr="009723BA" w:rsidRDefault="00895E49" w:rsidP="00A53ED8">
      <w:pPr>
        <w:spacing w:line="360" w:lineRule="auto"/>
        <w:jc w:val="both"/>
        <w:rPr>
          <w:rFonts w:ascii="Arial" w:hAnsi="Arial" w:cs="Arial"/>
          <w:color w:val="000000"/>
          <w:lang w:eastAsia="es-MX"/>
        </w:rPr>
      </w:pPr>
    </w:p>
    <w:p w:rsidR="00895E49" w:rsidRDefault="00895E49" w:rsidP="00A53ED8">
      <w:pPr>
        <w:spacing w:line="360" w:lineRule="auto"/>
        <w:jc w:val="both"/>
        <w:rPr>
          <w:rFonts w:ascii="Arial" w:hAnsi="Arial" w:cs="Arial"/>
          <w:color w:val="000000"/>
          <w:lang w:eastAsia="es-MX"/>
        </w:rPr>
      </w:pPr>
      <w:r w:rsidRPr="009723BA">
        <w:rPr>
          <w:rFonts w:ascii="Arial" w:hAnsi="Arial" w:cs="Arial"/>
          <w:color w:val="000000"/>
          <w:lang w:eastAsia="es-MX"/>
        </w:rPr>
        <w:t>.</w:t>
      </w:r>
    </w:p>
    <w:p w:rsidR="00AE6480" w:rsidRPr="0047612E" w:rsidRDefault="00AE6480" w:rsidP="00A53ED8">
      <w:pPr>
        <w:spacing w:line="360" w:lineRule="auto"/>
        <w:jc w:val="both"/>
        <w:rPr>
          <w:rFonts w:cs="Calibri"/>
          <w:sz w:val="32"/>
          <w:szCs w:val="32"/>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AE6480" w:rsidP="007D4E6E">
      <w:pPr>
        <w:spacing w:line="276" w:lineRule="auto"/>
        <w:rPr>
          <w:lang w:val="es-MX" w:eastAsia="es-MX"/>
        </w:rPr>
      </w:pPr>
    </w:p>
    <w:p w:rsidR="00AE6480" w:rsidRDefault="006378AA" w:rsidP="00CB0E8E">
      <w:pPr>
        <w:tabs>
          <w:tab w:val="num" w:pos="540"/>
        </w:tabs>
        <w:spacing w:line="360" w:lineRule="auto"/>
        <w:ind w:left="540"/>
        <w:jc w:val="both"/>
        <w:rPr>
          <w:rFonts w:cs="Calibri"/>
          <w:b/>
          <w:sz w:val="32"/>
          <w:szCs w:val="32"/>
        </w:rPr>
      </w:pPr>
      <w:r>
        <w:rPr>
          <w:rFonts w:cs="Calibri"/>
          <w:b/>
          <w:sz w:val="32"/>
          <w:szCs w:val="32"/>
        </w:rPr>
        <w:t>BIBLIOGRAFÍ</w:t>
      </w:r>
      <w:r w:rsidR="002534D4">
        <w:rPr>
          <w:rFonts w:cs="Calibri"/>
          <w:b/>
          <w:sz w:val="32"/>
          <w:szCs w:val="32"/>
        </w:rPr>
        <w:t>A</w:t>
      </w:r>
    </w:p>
    <w:p w:rsidR="000D2B9C" w:rsidRPr="000D2B9C" w:rsidRDefault="000D2B9C" w:rsidP="000D2B9C">
      <w:pPr>
        <w:numPr>
          <w:ilvl w:val="0"/>
          <w:numId w:val="16"/>
        </w:numPr>
        <w:tabs>
          <w:tab w:val="num" w:pos="540"/>
        </w:tabs>
        <w:spacing w:line="360" w:lineRule="auto"/>
        <w:jc w:val="both"/>
        <w:rPr>
          <w:rFonts w:cs="Calibri"/>
          <w:sz w:val="32"/>
          <w:szCs w:val="32"/>
        </w:rPr>
      </w:pPr>
      <w:r w:rsidRPr="000D2B9C">
        <w:rPr>
          <w:rFonts w:cs="Calibri"/>
          <w:sz w:val="32"/>
          <w:szCs w:val="32"/>
        </w:rPr>
        <w:t>Constitución Política de los Estados Unidos Mexicanos</w:t>
      </w:r>
    </w:p>
    <w:p w:rsidR="00AE6480" w:rsidRDefault="001A5F7E" w:rsidP="00A93EA6">
      <w:pPr>
        <w:numPr>
          <w:ilvl w:val="0"/>
          <w:numId w:val="16"/>
        </w:numPr>
        <w:jc w:val="both"/>
        <w:rPr>
          <w:rFonts w:cs="Calibri"/>
          <w:sz w:val="32"/>
          <w:szCs w:val="32"/>
        </w:rPr>
      </w:pPr>
      <w:hyperlink r:id="rId129" w:history="1">
        <w:r w:rsidR="00A04B3F" w:rsidRPr="004D5FD8">
          <w:rPr>
            <w:rStyle w:val="Hipervnculo"/>
            <w:rFonts w:cs="Calibri"/>
            <w:sz w:val="32"/>
            <w:szCs w:val="32"/>
          </w:rPr>
          <w:t>www.conac.gob.mx</w:t>
        </w:r>
      </w:hyperlink>
      <w:r w:rsidR="00A04B3F">
        <w:rPr>
          <w:rFonts w:cs="Calibri"/>
          <w:sz w:val="32"/>
          <w:szCs w:val="32"/>
        </w:rPr>
        <w:t xml:space="preserve"> (CONSEJO NACIONAL DE ARMONIZACION CONTABLE)</w:t>
      </w:r>
    </w:p>
    <w:p w:rsidR="000D2B9C" w:rsidRPr="00CB0E8E" w:rsidRDefault="000D2B9C" w:rsidP="000D2B9C">
      <w:pPr>
        <w:ind w:left="900"/>
        <w:jc w:val="both"/>
        <w:rPr>
          <w:rFonts w:cs="Calibri"/>
          <w:sz w:val="32"/>
          <w:szCs w:val="32"/>
        </w:rPr>
      </w:pPr>
    </w:p>
    <w:p w:rsidR="00AE6480" w:rsidRDefault="00F7093D" w:rsidP="00A93EA6">
      <w:pPr>
        <w:numPr>
          <w:ilvl w:val="0"/>
          <w:numId w:val="16"/>
        </w:numPr>
        <w:jc w:val="both"/>
        <w:rPr>
          <w:rFonts w:cs="Calibri"/>
          <w:sz w:val="32"/>
          <w:szCs w:val="32"/>
        </w:rPr>
      </w:pPr>
      <w:r>
        <w:rPr>
          <w:rFonts w:cs="Calibri"/>
          <w:sz w:val="32"/>
          <w:szCs w:val="32"/>
        </w:rPr>
        <w:t>Normas de Información Financiera</w:t>
      </w:r>
      <w:r w:rsidR="00A53ED8">
        <w:rPr>
          <w:rFonts w:cs="Calibri"/>
          <w:sz w:val="32"/>
          <w:szCs w:val="32"/>
        </w:rPr>
        <w:t xml:space="preserve"> (NIF)  emitidas por el CI</w:t>
      </w:r>
      <w:r w:rsidR="000D2B9C">
        <w:rPr>
          <w:rFonts w:cs="Calibri"/>
          <w:sz w:val="32"/>
          <w:szCs w:val="32"/>
        </w:rPr>
        <w:t>N</w:t>
      </w:r>
      <w:r w:rsidR="00A53ED8">
        <w:rPr>
          <w:rFonts w:cs="Calibri"/>
          <w:sz w:val="32"/>
          <w:szCs w:val="32"/>
        </w:rPr>
        <w:t>IF</w:t>
      </w:r>
      <w:r w:rsidR="000D2B9C">
        <w:rPr>
          <w:rFonts w:cs="Calibri"/>
          <w:sz w:val="32"/>
          <w:szCs w:val="32"/>
        </w:rPr>
        <w:t xml:space="preserve"> y el IMCP</w:t>
      </w:r>
      <w:r w:rsidR="003071E3">
        <w:rPr>
          <w:rFonts w:cs="Calibri"/>
          <w:sz w:val="32"/>
          <w:szCs w:val="32"/>
        </w:rPr>
        <w:t>. México 2012.</w:t>
      </w:r>
    </w:p>
    <w:p w:rsidR="000D2B9C" w:rsidRPr="00CB0E8E" w:rsidRDefault="000D2B9C" w:rsidP="000D2B9C">
      <w:pPr>
        <w:jc w:val="both"/>
        <w:rPr>
          <w:rFonts w:cs="Calibri"/>
          <w:sz w:val="32"/>
          <w:szCs w:val="32"/>
        </w:rPr>
      </w:pPr>
    </w:p>
    <w:p w:rsidR="00AE6480" w:rsidRDefault="00F7093D" w:rsidP="00F7093D">
      <w:pPr>
        <w:numPr>
          <w:ilvl w:val="0"/>
          <w:numId w:val="16"/>
        </w:numPr>
        <w:jc w:val="both"/>
        <w:rPr>
          <w:rFonts w:cs="Calibri"/>
          <w:sz w:val="32"/>
          <w:szCs w:val="32"/>
        </w:rPr>
      </w:pPr>
      <w:r>
        <w:rPr>
          <w:rFonts w:cs="Calibri"/>
          <w:sz w:val="32"/>
          <w:szCs w:val="32"/>
        </w:rPr>
        <w:t>Ley General de Contabilidad Gubernamental</w:t>
      </w:r>
      <w:r w:rsidR="002E5BBB">
        <w:rPr>
          <w:rFonts w:cs="Calibri"/>
          <w:sz w:val="32"/>
          <w:szCs w:val="32"/>
        </w:rPr>
        <w:t>. DOF 31-Dic-2008</w:t>
      </w:r>
      <w:r w:rsidR="000D2B9C">
        <w:rPr>
          <w:rFonts w:cs="Calibri"/>
          <w:sz w:val="32"/>
          <w:szCs w:val="32"/>
        </w:rPr>
        <w:t>.</w:t>
      </w:r>
    </w:p>
    <w:p w:rsidR="003071E3" w:rsidRDefault="003071E3" w:rsidP="003071E3">
      <w:pPr>
        <w:jc w:val="both"/>
        <w:rPr>
          <w:rFonts w:cs="Calibri"/>
          <w:sz w:val="32"/>
          <w:szCs w:val="32"/>
        </w:rPr>
      </w:pPr>
    </w:p>
    <w:p w:rsidR="003071E3" w:rsidRDefault="003071E3" w:rsidP="00F7093D">
      <w:pPr>
        <w:numPr>
          <w:ilvl w:val="0"/>
          <w:numId w:val="16"/>
        </w:numPr>
        <w:jc w:val="both"/>
        <w:rPr>
          <w:rFonts w:cs="Calibri"/>
          <w:sz w:val="32"/>
          <w:szCs w:val="32"/>
        </w:rPr>
      </w:pPr>
      <w:r>
        <w:rPr>
          <w:rFonts w:cs="Calibri"/>
          <w:sz w:val="32"/>
          <w:szCs w:val="32"/>
        </w:rPr>
        <w:t>Manual de Contabilidad Gubernamental, México 2012, Ed. ISEF.</w:t>
      </w:r>
    </w:p>
    <w:p w:rsidR="003071E3" w:rsidRDefault="003071E3" w:rsidP="003071E3">
      <w:pPr>
        <w:jc w:val="both"/>
        <w:rPr>
          <w:rFonts w:cs="Calibri"/>
          <w:sz w:val="32"/>
          <w:szCs w:val="32"/>
        </w:rPr>
      </w:pPr>
    </w:p>
    <w:p w:rsidR="003C70CD" w:rsidRDefault="003C70CD"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A53ED8" w:rsidRDefault="00A53ED8" w:rsidP="003C70CD">
      <w:pPr>
        <w:ind w:left="540"/>
        <w:jc w:val="both"/>
        <w:rPr>
          <w:rFonts w:cs="Calibri"/>
          <w:sz w:val="32"/>
          <w:szCs w:val="32"/>
        </w:rPr>
      </w:pPr>
    </w:p>
    <w:p w:rsidR="006378AA" w:rsidRDefault="006378AA" w:rsidP="003C70CD">
      <w:pPr>
        <w:ind w:left="540"/>
        <w:jc w:val="both"/>
        <w:rPr>
          <w:rFonts w:cs="Calibri"/>
          <w:sz w:val="32"/>
          <w:szCs w:val="32"/>
        </w:rPr>
      </w:pPr>
    </w:p>
    <w:p w:rsidR="00A53ED8" w:rsidRDefault="00A53ED8" w:rsidP="003C70CD">
      <w:pPr>
        <w:ind w:left="540"/>
        <w:jc w:val="both"/>
        <w:rPr>
          <w:rFonts w:cs="Calibri"/>
          <w:sz w:val="32"/>
          <w:szCs w:val="32"/>
        </w:rPr>
      </w:pPr>
    </w:p>
    <w:p w:rsidR="003C70CD" w:rsidRDefault="003071E3" w:rsidP="003C70CD">
      <w:pPr>
        <w:ind w:left="540"/>
        <w:jc w:val="both"/>
        <w:rPr>
          <w:rFonts w:ascii="Arial" w:hAnsi="Arial" w:cs="Arial"/>
          <w:b/>
          <w:sz w:val="32"/>
          <w:szCs w:val="32"/>
        </w:rPr>
      </w:pPr>
      <w:r>
        <w:rPr>
          <w:rFonts w:ascii="Arial" w:hAnsi="Arial" w:cs="Arial"/>
          <w:b/>
          <w:sz w:val="32"/>
          <w:szCs w:val="32"/>
        </w:rPr>
        <w:lastRenderedPageBreak/>
        <w:t>A</w:t>
      </w:r>
      <w:r w:rsidR="00C43FCE" w:rsidRPr="00C43FCE">
        <w:rPr>
          <w:rFonts w:ascii="Arial" w:hAnsi="Arial" w:cs="Arial"/>
          <w:b/>
          <w:sz w:val="32"/>
          <w:szCs w:val="32"/>
        </w:rPr>
        <w:t>NEXO    I</w:t>
      </w:r>
      <w:r w:rsidR="00A53ED8">
        <w:rPr>
          <w:rFonts w:ascii="Arial" w:hAnsi="Arial" w:cs="Arial"/>
          <w:b/>
          <w:sz w:val="32"/>
          <w:szCs w:val="32"/>
        </w:rPr>
        <w:t xml:space="preserve">   Página del CONAC</w:t>
      </w:r>
    </w:p>
    <w:p w:rsidR="00A53ED8" w:rsidRPr="00C43FCE" w:rsidRDefault="00A53ED8" w:rsidP="003C70CD">
      <w:pPr>
        <w:ind w:left="540"/>
        <w:jc w:val="both"/>
        <w:rPr>
          <w:rFonts w:ascii="Arial" w:hAnsi="Arial" w:cs="Arial"/>
          <w:b/>
          <w:sz w:val="32"/>
          <w:szCs w:val="32"/>
        </w:rPr>
      </w:pPr>
    </w:p>
    <w:tbl>
      <w:tblPr>
        <w:tblW w:w="5000" w:type="pct"/>
        <w:tblCellSpacing w:w="0" w:type="dxa"/>
        <w:tblCellMar>
          <w:top w:w="15" w:type="dxa"/>
          <w:left w:w="15" w:type="dxa"/>
          <w:bottom w:w="15" w:type="dxa"/>
          <w:right w:w="15" w:type="dxa"/>
        </w:tblCellMar>
        <w:tblLook w:val="04A0"/>
      </w:tblPr>
      <w:tblGrid>
        <w:gridCol w:w="9385"/>
      </w:tblGrid>
      <w:tr w:rsidR="000C0BC7" w:rsidRPr="000C0BC7">
        <w:trPr>
          <w:tblCellSpacing w:w="0" w:type="dxa"/>
        </w:trPr>
        <w:tc>
          <w:tcPr>
            <w:tcW w:w="0" w:type="auto"/>
            <w:vAlign w:val="center"/>
            <w:hideMark/>
          </w:tcPr>
          <w:tbl>
            <w:tblPr>
              <w:tblW w:w="12345" w:type="dxa"/>
              <w:jc w:val="center"/>
              <w:tblCellSpacing w:w="0" w:type="dxa"/>
              <w:tblCellMar>
                <w:left w:w="0" w:type="dxa"/>
                <w:right w:w="0" w:type="dxa"/>
              </w:tblCellMar>
              <w:tblLook w:val="04A0"/>
            </w:tblPr>
            <w:tblGrid>
              <w:gridCol w:w="198"/>
              <w:gridCol w:w="8959"/>
              <w:gridCol w:w="198"/>
            </w:tblGrid>
            <w:tr w:rsidR="000C0BC7" w:rsidRPr="000C0BC7">
              <w:trPr>
                <w:tblCellSpacing w:w="0" w:type="dxa"/>
                <w:jc w:val="center"/>
              </w:trPr>
              <w:tc>
                <w:tcPr>
                  <w:tcW w:w="240" w:type="dxa"/>
                  <w:vAlign w:val="center"/>
                  <w:hideMark/>
                </w:tcPr>
                <w:p w:rsidR="000C0BC7" w:rsidRPr="000C0BC7" w:rsidRDefault="000C0BC7" w:rsidP="000C0BC7">
                  <w:pPr>
                    <w:jc w:val="right"/>
                    <w:rPr>
                      <w:rFonts w:ascii="Times New Roman" w:hAnsi="Times New Roman"/>
                      <w:lang w:val="es-MX" w:eastAsia="es-MX"/>
                    </w:rPr>
                  </w:pPr>
                  <w:r w:rsidRPr="000C0BC7">
                    <w:rPr>
                      <w:rFonts w:ascii="Times New Roman" w:hAnsi="Times New Roman"/>
                      <w:noProof/>
                      <w:lang w:val="es-MX" w:eastAsia="es-MX"/>
                    </w:rPr>
                    <w:drawing>
                      <wp:inline distT="0" distB="0" distL="0" distR="0">
                        <wp:extent cx="152400" cy="1466850"/>
                        <wp:effectExtent l="19050" t="0" r="0" b="0"/>
                        <wp:docPr id="68" name="Imagen 68" descr="http://www.conac.gob.mx/imgenes/cabe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nac.gob.mx/imgenes/cabeza1.jpg"/>
                                <pic:cNvPicPr>
                                  <a:picLocks noChangeAspect="1" noChangeArrowheads="1"/>
                                </pic:cNvPicPr>
                              </pic:nvPicPr>
                              <pic:blipFill>
                                <a:blip r:embed="rId130"/>
                                <a:srcRect/>
                                <a:stretch>
                                  <a:fillRect/>
                                </a:stretch>
                              </pic:blipFill>
                              <pic:spPr bwMode="auto">
                                <a:xfrm>
                                  <a:off x="0" y="0"/>
                                  <a:ext cx="152400" cy="1466850"/>
                                </a:xfrm>
                                <a:prstGeom prst="rect">
                                  <a:avLst/>
                                </a:prstGeom>
                                <a:noFill/>
                                <a:ln w="9525">
                                  <a:noFill/>
                                  <a:miter lim="800000"/>
                                  <a:headEnd/>
                                  <a:tailEnd/>
                                </a:ln>
                              </pic:spPr>
                            </pic:pic>
                          </a:graphicData>
                        </a:graphic>
                      </wp:inline>
                    </w:drawing>
                  </w:r>
                </w:p>
              </w:tc>
              <w:tc>
                <w:tcPr>
                  <w:tcW w:w="11880" w:type="dxa"/>
                  <w:vAlign w:val="center"/>
                  <w:hideMark/>
                </w:tcPr>
                <w:p w:rsidR="000C0BC7" w:rsidRPr="000C0BC7" w:rsidRDefault="000C0BC7" w:rsidP="000C0BC7">
                  <w:pPr>
                    <w:rPr>
                      <w:rFonts w:ascii="Times New Roman" w:hAnsi="Times New Roman"/>
                      <w:lang w:val="es-MX" w:eastAsia="es-MX"/>
                    </w:rPr>
                  </w:pPr>
                  <w:r w:rsidRPr="000C0BC7">
                    <w:rPr>
                      <w:rFonts w:ascii="Times New Roman" w:hAnsi="Times New Roman"/>
                      <w:noProof/>
                      <w:lang w:val="es-MX" w:eastAsia="es-MX"/>
                    </w:rPr>
                    <w:drawing>
                      <wp:inline distT="0" distB="0" distL="0" distR="0">
                        <wp:extent cx="7543800" cy="1466850"/>
                        <wp:effectExtent l="19050" t="0" r="0" b="0"/>
                        <wp:docPr id="69" name="Imagen 69" descr="http://www.conac.gob.mx/imgenes/cabe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nac.gob.mx/imgenes/cabeza2.jpg"/>
                                <pic:cNvPicPr>
                                  <a:picLocks noChangeAspect="1" noChangeArrowheads="1"/>
                                </pic:cNvPicPr>
                              </pic:nvPicPr>
                              <pic:blipFill>
                                <a:blip r:embed="rId131"/>
                                <a:srcRect/>
                                <a:stretch>
                                  <a:fillRect/>
                                </a:stretch>
                              </pic:blipFill>
                              <pic:spPr bwMode="auto">
                                <a:xfrm>
                                  <a:off x="0" y="0"/>
                                  <a:ext cx="7543800" cy="1466850"/>
                                </a:xfrm>
                                <a:prstGeom prst="rect">
                                  <a:avLst/>
                                </a:prstGeom>
                                <a:noFill/>
                                <a:ln w="9525">
                                  <a:noFill/>
                                  <a:miter lim="800000"/>
                                  <a:headEnd/>
                                  <a:tailEnd/>
                                </a:ln>
                              </pic:spPr>
                            </pic:pic>
                          </a:graphicData>
                        </a:graphic>
                      </wp:inline>
                    </w:drawing>
                  </w:r>
                </w:p>
              </w:tc>
              <w:tc>
                <w:tcPr>
                  <w:tcW w:w="135" w:type="dxa"/>
                  <w:vAlign w:val="center"/>
                  <w:hideMark/>
                </w:tcPr>
                <w:p w:rsidR="000C0BC7" w:rsidRPr="000C0BC7" w:rsidRDefault="000C0BC7" w:rsidP="000C0BC7">
                  <w:pPr>
                    <w:rPr>
                      <w:rFonts w:ascii="Times New Roman" w:hAnsi="Times New Roman"/>
                      <w:lang w:val="es-MX" w:eastAsia="es-MX"/>
                    </w:rPr>
                  </w:pPr>
                  <w:r w:rsidRPr="000C0BC7">
                    <w:rPr>
                      <w:rFonts w:ascii="Times New Roman" w:hAnsi="Times New Roman"/>
                      <w:noProof/>
                      <w:lang w:val="es-MX" w:eastAsia="es-MX"/>
                    </w:rPr>
                    <w:drawing>
                      <wp:inline distT="0" distB="0" distL="0" distR="0">
                        <wp:extent cx="152400" cy="1466850"/>
                        <wp:effectExtent l="19050" t="0" r="0" b="0"/>
                        <wp:docPr id="70" name="Imagen 70" descr="http://www.conac.gob.mx/imgenes/cabe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nac.gob.mx/imgenes/cabeza3.jpg"/>
                                <pic:cNvPicPr>
                                  <a:picLocks noChangeAspect="1" noChangeArrowheads="1"/>
                                </pic:cNvPicPr>
                              </pic:nvPicPr>
                              <pic:blipFill>
                                <a:blip r:embed="rId132"/>
                                <a:srcRect/>
                                <a:stretch>
                                  <a:fillRect/>
                                </a:stretch>
                              </pic:blipFill>
                              <pic:spPr bwMode="auto">
                                <a:xfrm>
                                  <a:off x="0" y="0"/>
                                  <a:ext cx="152400" cy="1466850"/>
                                </a:xfrm>
                                <a:prstGeom prst="rect">
                                  <a:avLst/>
                                </a:prstGeom>
                                <a:noFill/>
                                <a:ln w="9525">
                                  <a:noFill/>
                                  <a:miter lim="800000"/>
                                  <a:headEnd/>
                                  <a:tailEnd/>
                                </a:ln>
                              </pic:spPr>
                            </pic:pic>
                          </a:graphicData>
                        </a:graphic>
                      </wp:inline>
                    </w:drawing>
                  </w:r>
                </w:p>
              </w:tc>
            </w:tr>
            <w:tr w:rsidR="000C0BC7" w:rsidRPr="000C0BC7">
              <w:trPr>
                <w:tblCellSpacing w:w="0" w:type="dxa"/>
                <w:jc w:val="center"/>
              </w:trPr>
              <w:tc>
                <w:tcPr>
                  <w:tcW w:w="0" w:type="auto"/>
                  <w:hideMark/>
                </w:tcPr>
                <w:p w:rsidR="000C0BC7" w:rsidRPr="000C0BC7" w:rsidRDefault="000C0BC7" w:rsidP="000C0BC7">
                  <w:pPr>
                    <w:jc w:val="right"/>
                    <w:rPr>
                      <w:rFonts w:ascii="Times New Roman" w:hAnsi="Times New Roman"/>
                      <w:lang w:val="es-MX" w:eastAsia="es-MX"/>
                    </w:rPr>
                  </w:pPr>
                  <w:r w:rsidRPr="000C0BC7">
                    <w:rPr>
                      <w:rFonts w:ascii="Times New Roman" w:hAnsi="Times New Roman"/>
                      <w:noProof/>
                      <w:lang w:val="es-MX" w:eastAsia="es-MX"/>
                    </w:rPr>
                    <w:drawing>
                      <wp:inline distT="0" distB="0" distL="0" distR="0">
                        <wp:extent cx="152400" cy="4333875"/>
                        <wp:effectExtent l="19050" t="0" r="0" b="0"/>
                        <wp:docPr id="71" name="Imagen 71" descr="http://www.conac.gob.mx/imgenes/cpo_i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nac.gob.mx/imgenes/cpo_izq.jpg"/>
                                <pic:cNvPicPr>
                                  <a:picLocks noChangeAspect="1" noChangeArrowheads="1"/>
                                </pic:cNvPicPr>
                              </pic:nvPicPr>
                              <pic:blipFill>
                                <a:blip r:embed="rId133"/>
                                <a:srcRect/>
                                <a:stretch>
                                  <a:fillRect/>
                                </a:stretch>
                              </pic:blipFill>
                              <pic:spPr bwMode="auto">
                                <a:xfrm>
                                  <a:off x="0" y="0"/>
                                  <a:ext cx="152400" cy="4333875"/>
                                </a:xfrm>
                                <a:prstGeom prst="rect">
                                  <a:avLst/>
                                </a:prstGeom>
                                <a:noFill/>
                                <a:ln w="9525">
                                  <a:noFill/>
                                  <a:miter lim="800000"/>
                                  <a:headEnd/>
                                  <a:tailEnd/>
                                </a:ln>
                              </pic:spPr>
                            </pic:pic>
                          </a:graphicData>
                        </a:graphic>
                      </wp:inline>
                    </w:drawing>
                  </w:r>
                </w:p>
              </w:tc>
              <w:tc>
                <w:tcPr>
                  <w:tcW w:w="0" w:type="auto"/>
                  <w:hideMark/>
                </w:tcPr>
                <w:p w:rsidR="000C0BC7" w:rsidRPr="000C0BC7" w:rsidRDefault="000C0BC7" w:rsidP="000C0BC7">
                  <w:pPr>
                    <w:rPr>
                      <w:rFonts w:ascii="Times New Roman" w:hAnsi="Times New Roman"/>
                      <w:lang w:val="es-MX" w:eastAsia="es-MX"/>
                    </w:rPr>
                  </w:pPr>
                  <w:r w:rsidRPr="000C0BC7">
                    <w:rPr>
                      <w:rFonts w:ascii="Times New Roman" w:hAnsi="Times New Roman"/>
                      <w:lang w:val="es-MX" w:eastAsia="es-MX"/>
                    </w:rPr>
                    <w:br/>
                    <w:t xml:space="preserve">  </w:t>
                  </w:r>
                </w:p>
                <w:tbl>
                  <w:tblPr>
                    <w:tblW w:w="4950" w:type="pct"/>
                    <w:jc w:val="center"/>
                    <w:tblCellSpacing w:w="0" w:type="dxa"/>
                    <w:tblCellMar>
                      <w:left w:w="0" w:type="dxa"/>
                      <w:right w:w="0" w:type="dxa"/>
                    </w:tblCellMar>
                    <w:tblLook w:val="04A0"/>
                  </w:tblPr>
                  <w:tblGrid>
                    <w:gridCol w:w="8959"/>
                  </w:tblGrid>
                  <w:tr w:rsidR="000C0BC7" w:rsidRPr="000C0BC7">
                    <w:trPr>
                      <w:tblCellSpacing w:w="0" w:type="dxa"/>
                      <w:jc w:val="center"/>
                    </w:trPr>
                    <w:tc>
                      <w:tcPr>
                        <w:tcW w:w="0" w:type="auto"/>
                        <w:vAlign w:val="center"/>
                        <w:hideMark/>
                      </w:tcPr>
                      <w:p w:rsidR="000C0BC7" w:rsidRPr="000C0BC7" w:rsidRDefault="000C0BC7" w:rsidP="000C0BC7">
                        <w:pPr>
                          <w:spacing w:before="100" w:beforeAutospacing="1" w:after="100" w:afterAutospacing="1"/>
                          <w:outlineLvl w:val="0"/>
                          <w:rPr>
                            <w:rFonts w:ascii="Arial" w:hAnsi="Arial" w:cs="Arial"/>
                            <w:b/>
                            <w:bCs/>
                            <w:color w:val="186D56"/>
                            <w:kern w:val="36"/>
                            <w:sz w:val="27"/>
                            <w:szCs w:val="27"/>
                            <w:lang w:val="es-MX" w:eastAsia="es-MX"/>
                          </w:rPr>
                        </w:pPr>
                        <w:r w:rsidRPr="000C0BC7">
                          <w:rPr>
                            <w:rFonts w:ascii="Arial" w:hAnsi="Arial" w:cs="Arial"/>
                            <w:b/>
                            <w:bCs/>
                            <w:color w:val="186D56"/>
                            <w:kern w:val="36"/>
                            <w:sz w:val="27"/>
                            <w:szCs w:val="27"/>
                            <w:lang w:val="es-MX" w:eastAsia="es-MX"/>
                          </w:rPr>
                          <w:t>Consejo Nacional de Armonización Contable</w:t>
                        </w:r>
                      </w:p>
                    </w:tc>
                  </w:tr>
                  <w:tr w:rsidR="000C0BC7" w:rsidRPr="000C0BC7">
                    <w:trPr>
                      <w:tblCellSpacing w:w="0" w:type="dxa"/>
                      <w:jc w:val="center"/>
                    </w:trPr>
                    <w:tc>
                      <w:tcPr>
                        <w:tcW w:w="0" w:type="auto"/>
                        <w:vAlign w:val="center"/>
                        <w:hideMark/>
                      </w:tcPr>
                      <w:tbl>
                        <w:tblPr>
                          <w:tblW w:w="11880" w:type="dxa"/>
                          <w:tblCellSpacing w:w="15" w:type="dxa"/>
                          <w:tblCellMar>
                            <w:left w:w="0" w:type="dxa"/>
                            <w:right w:w="0" w:type="dxa"/>
                          </w:tblCellMar>
                          <w:tblLook w:val="04A0"/>
                        </w:tblPr>
                        <w:tblGrid>
                          <w:gridCol w:w="4669"/>
                          <w:gridCol w:w="4290"/>
                        </w:tblGrid>
                        <w:tr w:rsidR="000C0BC7" w:rsidRPr="000C0BC7">
                          <w:trPr>
                            <w:tblCellSpacing w:w="15" w:type="dxa"/>
                          </w:trPr>
                          <w:tc>
                            <w:tcPr>
                              <w:tcW w:w="2650" w:type="pct"/>
                              <w:hideMark/>
                            </w:tcPr>
                            <w:tbl>
                              <w:tblPr>
                                <w:tblW w:w="5850" w:type="dxa"/>
                                <w:tblCellSpacing w:w="0" w:type="dxa"/>
                                <w:tblCellMar>
                                  <w:top w:w="15" w:type="dxa"/>
                                  <w:left w:w="15" w:type="dxa"/>
                                  <w:bottom w:w="15" w:type="dxa"/>
                                  <w:right w:w="15" w:type="dxa"/>
                                </w:tblCellMar>
                                <w:tblLook w:val="04A0"/>
                              </w:tblPr>
                              <w:tblGrid>
                                <w:gridCol w:w="1998"/>
                                <w:gridCol w:w="3852"/>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drawing>
                                        <wp:inline distT="0" distB="0" distL="0" distR="0">
                                          <wp:extent cx="3048000" cy="190500"/>
                                          <wp:effectExtent l="19050" t="0" r="0" b="0"/>
                                          <wp:docPr id="72" name="Imagen 72" descr="http://www.conac.gob.mx/imgenes/images/integracion_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nac.gob.mx/imgenes/images/integracion_consejo.jpg"/>
                                                  <pic:cNvPicPr>
                                                    <a:picLocks noChangeAspect="1" noChangeArrowheads="1"/>
                                                  </pic:cNvPicPr>
                                                </pic:nvPicPr>
                                                <pic:blipFill>
                                                  <a:blip r:embed="rId134"/>
                                                  <a:srcRect/>
                                                  <a:stretch>
                                                    <a:fillRect/>
                                                  </a:stretch>
                                                </pic:blipFill>
                                                <pic:spPr bwMode="auto">
                                                  <a:xfrm>
                                                    <a:off x="0" y="0"/>
                                                    <a:ext cx="30480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1890" w:type="dxa"/>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noProof/>
                                        <w:lang w:val="es-MX" w:eastAsia="es-MX"/>
                                      </w:rPr>
                                      <w:drawing>
                                        <wp:inline distT="0" distB="0" distL="0" distR="0">
                                          <wp:extent cx="952500" cy="742950"/>
                                          <wp:effectExtent l="19050" t="0" r="0" b="0"/>
                                          <wp:docPr id="73" name="Imagen 73" descr="http://www.conac.gob.mx/imgenes/consej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nac.gob.mx/imgenes/consejo.gif"/>
                                                  <pic:cNvPicPr>
                                                    <a:picLocks noChangeAspect="1" noChangeArrowheads="1"/>
                                                  </pic:cNvPicPr>
                                                </pic:nvPicPr>
                                                <pic:blipFill>
                                                  <a:blip r:embed="rId135"/>
                                                  <a:srcRect/>
                                                  <a:stretch>
                                                    <a:fillRect/>
                                                  </a:stretch>
                                                </pic:blipFill>
                                                <pic:spPr bwMode="auto">
                                                  <a:xfrm>
                                                    <a:off x="0" y="0"/>
                                                    <a:ext cx="952500" cy="742950"/>
                                                  </a:xfrm>
                                                  <a:prstGeom prst="rect">
                                                    <a:avLst/>
                                                  </a:prstGeom>
                                                  <a:noFill/>
                                                  <a:ln w="9525">
                                                    <a:noFill/>
                                                    <a:miter lim="800000"/>
                                                    <a:headEnd/>
                                                    <a:tailEnd/>
                                                  </a:ln>
                                                </pic:spPr>
                                              </pic:pic>
                                            </a:graphicData>
                                          </a:graphic>
                                        </wp:inline>
                                      </w:drawing>
                                    </w:r>
                                  </w:p>
                                </w:tc>
                                <w:tc>
                                  <w:tcPr>
                                    <w:tcW w:w="3645" w:type="dxa"/>
                                    <w:vAlign w:val="center"/>
                                    <w:hideMark/>
                                  </w:tcPr>
                                  <w:p w:rsidR="000C0BC7" w:rsidRPr="000C0BC7" w:rsidRDefault="000C0BC7" w:rsidP="000C0BC7">
                                    <w:pPr>
                                      <w:spacing w:before="100" w:beforeAutospacing="1" w:after="100" w:afterAutospacing="1"/>
                                      <w:rPr>
                                        <w:rFonts w:ascii="Times New Roman" w:hAnsi="Times New Roman"/>
                                        <w:color w:val="333333"/>
                                        <w:sz w:val="18"/>
                                        <w:szCs w:val="18"/>
                                        <w:lang w:val="es-MX" w:eastAsia="es-MX"/>
                                      </w:rPr>
                                    </w:pPr>
                                    <w:r w:rsidRPr="000C0BC7">
                                      <w:rPr>
                                        <w:rFonts w:ascii="Times New Roman" w:hAnsi="Times New Roman"/>
                                        <w:color w:val="333333"/>
                                        <w:sz w:val="18"/>
                                        <w:szCs w:val="18"/>
                                        <w:lang w:val="es-MX" w:eastAsia="es-MX"/>
                                      </w:rPr>
                                      <w:t> </w:t>
                                    </w:r>
                                  </w:p>
                                  <w:p w:rsidR="000C0BC7" w:rsidRPr="000C0BC7" w:rsidRDefault="001A5F7E" w:rsidP="000C0BC7">
                                    <w:pPr>
                                      <w:numPr>
                                        <w:ilvl w:val="0"/>
                                        <w:numId w:val="28"/>
                                      </w:numPr>
                                      <w:spacing w:before="100" w:beforeAutospacing="1" w:after="100" w:afterAutospacing="1"/>
                                      <w:rPr>
                                        <w:rFonts w:ascii="Times New Roman" w:hAnsi="Times New Roman"/>
                                        <w:lang w:val="es-MX" w:eastAsia="es-MX"/>
                                      </w:rPr>
                                    </w:pPr>
                                    <w:hyperlink r:id="rId136" w:tgtFrame="_blank" w:history="1">
                                      <w:r w:rsidR="000C0BC7" w:rsidRPr="000C0BC7">
                                        <w:rPr>
                                          <w:rFonts w:ascii="Verdana" w:hAnsi="Verdana"/>
                                          <w:color w:val="186D56"/>
                                          <w:sz w:val="17"/>
                                          <w:szCs w:val="17"/>
                                          <w:lang w:val="es-MX" w:eastAsia="es-MX"/>
                                        </w:rPr>
                                        <w:t xml:space="preserve">Conformación </w:t>
                                      </w:r>
                                    </w:hyperlink>
                                  </w:p>
                                  <w:p w:rsidR="000C0BC7" w:rsidRPr="000C0BC7" w:rsidRDefault="001A5F7E" w:rsidP="000C0BC7">
                                    <w:pPr>
                                      <w:numPr>
                                        <w:ilvl w:val="0"/>
                                        <w:numId w:val="28"/>
                                      </w:numPr>
                                      <w:spacing w:before="100" w:beforeAutospacing="1" w:after="100" w:afterAutospacing="1"/>
                                      <w:rPr>
                                        <w:rFonts w:ascii="Times New Roman" w:hAnsi="Times New Roman"/>
                                        <w:lang w:val="es-MX" w:eastAsia="es-MX"/>
                                      </w:rPr>
                                    </w:pPr>
                                    <w:hyperlink r:id="rId137" w:tgtFrame="_blank" w:history="1">
                                      <w:r w:rsidR="000C0BC7" w:rsidRPr="000C0BC7">
                                        <w:rPr>
                                          <w:rFonts w:ascii="Verdana" w:hAnsi="Verdana"/>
                                          <w:color w:val="186D56"/>
                                          <w:sz w:val="17"/>
                                          <w:szCs w:val="17"/>
                                          <w:lang w:val="es-MX" w:eastAsia="es-MX"/>
                                        </w:rPr>
                                        <w:t>Directorio</w:t>
                                      </w:r>
                                    </w:hyperlink>
                                    <w:r w:rsidR="000C0BC7" w:rsidRPr="000C0BC7">
                                      <w:rPr>
                                        <w:rFonts w:ascii="Times New Roman" w:hAnsi="Times New Roman"/>
                                        <w:lang w:val="es-MX" w:eastAsia="es-MX"/>
                                      </w:rPr>
                                      <w:t xml:space="preserve"> </w:t>
                                    </w:r>
                                  </w:p>
                                  <w:p w:rsidR="000C0BC7" w:rsidRPr="000C0BC7" w:rsidRDefault="000C0BC7" w:rsidP="000C0BC7">
                                    <w:pPr>
                                      <w:rPr>
                                        <w:rFonts w:ascii="Times New Roman" w:hAnsi="Times New Roman"/>
                                        <w:lang w:val="es-MX" w:eastAsia="es-MX"/>
                                      </w:rPr>
                                    </w:pPr>
                                  </w:p>
                                </w:tc>
                              </w:tr>
                            </w:tbl>
                            <w:p w:rsidR="000C0BC7" w:rsidRPr="000C0BC7" w:rsidRDefault="000C0BC7" w:rsidP="000C0BC7">
                              <w:pPr>
                                <w:rPr>
                                  <w:rFonts w:ascii="Times New Roman" w:hAnsi="Times New Roman"/>
                                  <w:vanish/>
                                  <w:lang w:val="es-MX" w:eastAsia="es-MX"/>
                                </w:rPr>
                              </w:pPr>
                            </w:p>
                            <w:tbl>
                              <w:tblPr>
                                <w:tblW w:w="5850" w:type="dxa"/>
                                <w:tblCellSpacing w:w="0" w:type="dxa"/>
                                <w:tblCellMar>
                                  <w:top w:w="15" w:type="dxa"/>
                                  <w:left w:w="15" w:type="dxa"/>
                                  <w:bottom w:w="15" w:type="dxa"/>
                                  <w:right w:w="15" w:type="dxa"/>
                                </w:tblCellMar>
                                <w:tblLook w:val="04A0"/>
                              </w:tblPr>
                              <w:tblGrid>
                                <w:gridCol w:w="1995"/>
                                <w:gridCol w:w="3855"/>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drawing>
                                        <wp:inline distT="0" distB="0" distL="0" distR="0">
                                          <wp:extent cx="3619500" cy="190500"/>
                                          <wp:effectExtent l="19050" t="0" r="0" b="0"/>
                                          <wp:docPr id="74" name="Imagen 74" descr="http://www.conac.gob.mx/imgenes/images/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nac.gob.mx/imgenes/images/docs.jpg"/>
                                                  <pic:cNvPicPr>
                                                    <a:picLocks noChangeAspect="1" noChangeArrowheads="1"/>
                                                  </pic:cNvPicPr>
                                                </pic:nvPicPr>
                                                <pic:blipFill>
                                                  <a:blip r:embed="rId138"/>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1995"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noProof/>
                                        <w:lang w:val="es-MX" w:eastAsia="es-MX"/>
                                      </w:rPr>
                                      <w:drawing>
                                        <wp:inline distT="0" distB="0" distL="0" distR="0">
                                          <wp:extent cx="952500" cy="1190625"/>
                                          <wp:effectExtent l="19050" t="0" r="0" b="0"/>
                                          <wp:docPr id="17" name="Imagen 75" descr="http://www.conac.gob.mx/imgenes/documen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nac.gob.mx/imgenes/documentos.gif"/>
                                                  <pic:cNvPicPr>
                                                    <a:picLocks noChangeAspect="1" noChangeArrowheads="1"/>
                                                  </pic:cNvPicPr>
                                                </pic:nvPicPr>
                                                <pic:blipFill>
                                                  <a:blip r:embed="rId139"/>
                                                  <a:srcRect/>
                                                  <a:stretch>
                                                    <a:fillRect/>
                                                  </a:stretch>
                                                </pic:blipFill>
                                                <pic:spPr bwMode="auto">
                                                  <a:xfrm>
                                                    <a:off x="0" y="0"/>
                                                    <a:ext cx="952500" cy="1190625"/>
                                                  </a:xfrm>
                                                  <a:prstGeom prst="rect">
                                                    <a:avLst/>
                                                  </a:prstGeom>
                                                  <a:noFill/>
                                                  <a:ln w="9525">
                                                    <a:noFill/>
                                                    <a:miter lim="800000"/>
                                                    <a:headEnd/>
                                                    <a:tailEnd/>
                                                  </a:ln>
                                                </pic:spPr>
                                              </pic:pic>
                                            </a:graphicData>
                                          </a:graphic>
                                        </wp:inline>
                                      </w:drawing>
                                    </w:r>
                                    <w:r w:rsidRPr="000C0BC7">
                                      <w:rPr>
                                        <w:rFonts w:ascii="Times New Roman" w:hAnsi="Times New Roman"/>
                                        <w:lang w:val="es-MX" w:eastAsia="es-MX"/>
                                      </w:rPr>
                                      <w:br/>
                                      <w:t> </w:t>
                                    </w:r>
                                  </w:p>
                                </w:tc>
                                <w:tc>
                                  <w:tcPr>
                                    <w:tcW w:w="3855" w:type="dxa"/>
                                    <w:vAlign w:val="center"/>
                                    <w:hideMark/>
                                  </w:tcPr>
                                  <w:p w:rsidR="000C0BC7" w:rsidRPr="000C0BC7" w:rsidRDefault="001A5F7E" w:rsidP="000C0BC7">
                                    <w:pPr>
                                      <w:numPr>
                                        <w:ilvl w:val="0"/>
                                        <w:numId w:val="29"/>
                                      </w:numPr>
                                      <w:spacing w:before="100" w:beforeAutospacing="1" w:after="100" w:afterAutospacing="1"/>
                                      <w:rPr>
                                        <w:rFonts w:ascii="Times New Roman" w:hAnsi="Times New Roman"/>
                                        <w:lang w:val="es-MX" w:eastAsia="es-MX"/>
                                      </w:rPr>
                                    </w:pPr>
                                    <w:hyperlink r:id="rId140" w:tgtFrame="_blank" w:history="1">
                                      <w:r w:rsidR="000C0BC7" w:rsidRPr="000C0BC7">
                                        <w:rPr>
                                          <w:rFonts w:ascii="Verdana" w:hAnsi="Verdana"/>
                                          <w:color w:val="186D56"/>
                                          <w:sz w:val="17"/>
                                          <w:szCs w:val="17"/>
                                          <w:lang w:val="es-MX" w:eastAsia="es-MX"/>
                                        </w:rPr>
                                        <w:t>Exposición de Motivos de la Ley General de Contabilidad Gubernamental</w:t>
                                      </w:r>
                                    </w:hyperlink>
                                  </w:p>
                                  <w:p w:rsidR="000C0BC7" w:rsidRPr="000C0BC7" w:rsidRDefault="001A5F7E" w:rsidP="000C0BC7">
                                    <w:pPr>
                                      <w:numPr>
                                        <w:ilvl w:val="0"/>
                                        <w:numId w:val="29"/>
                                      </w:numPr>
                                      <w:spacing w:before="100" w:beforeAutospacing="1" w:after="100" w:afterAutospacing="1"/>
                                      <w:rPr>
                                        <w:rFonts w:ascii="Times New Roman" w:hAnsi="Times New Roman"/>
                                        <w:lang w:val="es-MX" w:eastAsia="es-MX"/>
                                      </w:rPr>
                                    </w:pPr>
                                    <w:hyperlink r:id="rId141" w:tgtFrame="_blank" w:history="1">
                                      <w:r w:rsidR="000C0BC7" w:rsidRPr="000C0BC7">
                                        <w:rPr>
                                          <w:rFonts w:ascii="Verdana" w:hAnsi="Verdana"/>
                                          <w:color w:val="186D56"/>
                                          <w:sz w:val="17"/>
                                          <w:szCs w:val="17"/>
                                          <w:lang w:val="es-MX" w:eastAsia="es-MX"/>
                                        </w:rPr>
                                        <w:t>Ley General de Contabilidad Gubernamental</w:t>
                                      </w:r>
                                    </w:hyperlink>
                                  </w:p>
                                  <w:p w:rsidR="000C0BC7" w:rsidRPr="000C0BC7" w:rsidRDefault="001A5F7E" w:rsidP="000C0BC7">
                                    <w:pPr>
                                      <w:numPr>
                                        <w:ilvl w:val="0"/>
                                        <w:numId w:val="29"/>
                                      </w:numPr>
                                      <w:spacing w:before="100" w:beforeAutospacing="1" w:after="100" w:afterAutospacing="1"/>
                                      <w:rPr>
                                        <w:rFonts w:ascii="Times New Roman" w:hAnsi="Times New Roman"/>
                                        <w:lang w:val="es-MX" w:eastAsia="es-MX"/>
                                      </w:rPr>
                                    </w:pPr>
                                    <w:hyperlink r:id="rId142" w:tgtFrame="_blank" w:history="1">
                                      <w:r w:rsidR="000C0BC7" w:rsidRPr="000C0BC7">
                                        <w:rPr>
                                          <w:rFonts w:ascii="Verdana" w:hAnsi="Verdana"/>
                                          <w:color w:val="186D56"/>
                                          <w:sz w:val="17"/>
                                          <w:szCs w:val="17"/>
                                          <w:lang w:val="es-MX" w:eastAsia="es-MX"/>
                                        </w:rPr>
                                        <w:t xml:space="preserve">Reglas de  Operación </w:t>
                                      </w:r>
                                    </w:hyperlink>
                                  </w:p>
                                  <w:p w:rsidR="000C0BC7" w:rsidRPr="000C0BC7" w:rsidRDefault="001A5F7E" w:rsidP="000C0BC7">
                                    <w:pPr>
                                      <w:numPr>
                                        <w:ilvl w:val="0"/>
                                        <w:numId w:val="29"/>
                                      </w:numPr>
                                      <w:spacing w:before="100" w:beforeAutospacing="1" w:after="100" w:afterAutospacing="1"/>
                                      <w:rPr>
                                        <w:rFonts w:ascii="Times New Roman" w:hAnsi="Times New Roman"/>
                                        <w:lang w:val="es-MX" w:eastAsia="es-MX"/>
                                      </w:rPr>
                                    </w:pPr>
                                    <w:hyperlink r:id="rId143" w:tgtFrame="_blank" w:history="1">
                                      <w:r w:rsidR="000C0BC7" w:rsidRPr="000C0BC7">
                                        <w:rPr>
                                          <w:rFonts w:ascii="Verdana" w:hAnsi="Verdana"/>
                                          <w:color w:val="186D56"/>
                                          <w:sz w:val="17"/>
                                          <w:szCs w:val="17"/>
                                          <w:lang w:val="es-MX" w:eastAsia="es-MX"/>
                                        </w:rPr>
                                        <w:t xml:space="preserve">Plan Anual de Trabajo </w:t>
                                      </w:r>
                                    </w:hyperlink>
                                  </w:p>
                                  <w:p w:rsidR="000C0BC7" w:rsidRPr="000C0BC7" w:rsidRDefault="000C0BC7" w:rsidP="000C0BC7">
                                    <w:pPr>
                                      <w:numPr>
                                        <w:ilvl w:val="0"/>
                                        <w:numId w:val="29"/>
                                      </w:numPr>
                                      <w:spacing w:before="100" w:beforeAutospacing="1" w:after="100" w:afterAutospacing="1"/>
                                      <w:rPr>
                                        <w:rFonts w:ascii="Times New Roman" w:hAnsi="Times New Roman"/>
                                        <w:lang w:val="es-MX" w:eastAsia="es-MX"/>
                                      </w:rPr>
                                    </w:pPr>
                                    <w:r w:rsidRPr="000C0BC7">
                                      <w:rPr>
                                        <w:rFonts w:ascii="Verdana" w:hAnsi="Verdana"/>
                                        <w:color w:val="186D56"/>
                                        <w:sz w:val="17"/>
                                        <w:szCs w:val="17"/>
                                        <w:lang w:val="es-MX" w:eastAsia="es-MX"/>
                                      </w:rPr>
                                      <w:t>Cuestionario sobre aplicaciones financieras en Entidades Federativas y Municipios</w:t>
                                    </w:r>
                                  </w:p>
                                  <w:p w:rsidR="000C0BC7" w:rsidRPr="000C0BC7" w:rsidRDefault="001A5F7E" w:rsidP="000C0BC7">
                                    <w:pPr>
                                      <w:numPr>
                                        <w:ilvl w:val="1"/>
                                        <w:numId w:val="29"/>
                                      </w:numPr>
                                      <w:spacing w:before="100" w:beforeAutospacing="1" w:after="100" w:afterAutospacing="1"/>
                                      <w:rPr>
                                        <w:rFonts w:ascii="Times New Roman" w:hAnsi="Times New Roman"/>
                                        <w:lang w:val="es-MX" w:eastAsia="es-MX"/>
                                      </w:rPr>
                                    </w:pPr>
                                    <w:hyperlink r:id="rId144" w:tgtFrame="_blank" w:history="1">
                                      <w:r w:rsidR="000C0BC7" w:rsidRPr="000C0BC7">
                                        <w:rPr>
                                          <w:rFonts w:ascii="Verdana" w:hAnsi="Verdana"/>
                                          <w:color w:val="186D56"/>
                                          <w:sz w:val="17"/>
                                          <w:szCs w:val="17"/>
                                          <w:lang w:val="es-MX" w:eastAsia="es-MX"/>
                                        </w:rPr>
                                        <w:t>Instructivo y Cuestionario para entes públicos estatales</w:t>
                                      </w:r>
                                    </w:hyperlink>
                                  </w:p>
                                  <w:p w:rsidR="000C0BC7" w:rsidRPr="000C0BC7" w:rsidRDefault="001A5F7E" w:rsidP="000C0BC7">
                                    <w:pPr>
                                      <w:numPr>
                                        <w:ilvl w:val="1"/>
                                        <w:numId w:val="29"/>
                                      </w:numPr>
                                      <w:spacing w:before="100" w:beforeAutospacing="1" w:after="100" w:afterAutospacing="1"/>
                                      <w:rPr>
                                        <w:rFonts w:ascii="Times New Roman" w:hAnsi="Times New Roman"/>
                                        <w:lang w:val="es-MX" w:eastAsia="es-MX"/>
                                      </w:rPr>
                                    </w:pPr>
                                    <w:hyperlink r:id="rId145" w:tgtFrame="_blank" w:history="1">
                                      <w:r w:rsidR="000C0BC7" w:rsidRPr="000C0BC7">
                                        <w:rPr>
                                          <w:rFonts w:ascii="Verdana" w:hAnsi="Verdana"/>
                                          <w:color w:val="186D56"/>
                                          <w:sz w:val="17"/>
                                          <w:szCs w:val="17"/>
                                          <w:lang w:val="es-MX" w:eastAsia="es-MX"/>
                                        </w:rPr>
                                        <w:t>Instructivo y Cuestionario para entes públicos municipales</w:t>
                                      </w:r>
                                    </w:hyperlink>
                                  </w:p>
                                  <w:p w:rsidR="000C0BC7" w:rsidRPr="000C0BC7" w:rsidRDefault="001A5F7E" w:rsidP="000C0BC7">
                                    <w:pPr>
                                      <w:numPr>
                                        <w:ilvl w:val="0"/>
                                        <w:numId w:val="30"/>
                                      </w:numPr>
                                      <w:spacing w:before="100" w:beforeAutospacing="1" w:after="100" w:afterAutospacing="1"/>
                                      <w:rPr>
                                        <w:rFonts w:ascii="Times New Roman" w:hAnsi="Times New Roman"/>
                                        <w:lang w:val="es-MX" w:eastAsia="es-MX"/>
                                      </w:rPr>
                                    </w:pPr>
                                    <w:hyperlink r:id="rId146" w:tgtFrame="_blank" w:history="1">
                                      <w:r w:rsidR="000C0BC7" w:rsidRPr="000C0BC7">
                                        <w:rPr>
                                          <w:rFonts w:ascii="Verdana" w:hAnsi="Verdana"/>
                                          <w:b/>
                                          <w:bCs/>
                                          <w:color w:val="186D56"/>
                                          <w:sz w:val="17"/>
                                          <w:szCs w:val="17"/>
                                          <w:lang w:val="es-MX" w:eastAsia="es-MX"/>
                                        </w:rPr>
                                        <w:t>Recepción de cuestionario</w:t>
                                      </w:r>
                                    </w:hyperlink>
                                  </w:p>
                                  <w:p w:rsidR="000C0BC7" w:rsidRPr="000C0BC7" w:rsidRDefault="001A5F7E" w:rsidP="000C0BC7">
                                    <w:pPr>
                                      <w:numPr>
                                        <w:ilvl w:val="1"/>
                                        <w:numId w:val="30"/>
                                      </w:numPr>
                                      <w:spacing w:before="100" w:beforeAutospacing="1" w:after="100" w:afterAutospacing="1"/>
                                      <w:rPr>
                                        <w:rFonts w:ascii="Times New Roman" w:hAnsi="Times New Roman"/>
                                        <w:lang w:val="es-MX" w:eastAsia="es-MX"/>
                                      </w:rPr>
                                    </w:pPr>
                                    <w:hyperlink r:id="rId147" w:tgtFrame="_blank" w:history="1">
                                      <w:r w:rsidR="000C0BC7" w:rsidRPr="000C0BC7">
                                        <w:rPr>
                                          <w:rFonts w:ascii="Verdana" w:hAnsi="Verdana"/>
                                          <w:color w:val="186D56"/>
                                          <w:sz w:val="17"/>
                                          <w:szCs w:val="17"/>
                                          <w:lang w:val="es-MX" w:eastAsia="es-MX"/>
                                        </w:rPr>
                                        <w:t>Guía para el envío del Cuestionario</w:t>
                                      </w:r>
                                    </w:hyperlink>
                                    <w:r w:rsidR="000C0BC7" w:rsidRPr="000C0BC7">
                                      <w:rPr>
                                        <w:rFonts w:ascii="Times New Roman" w:hAnsi="Times New Roman"/>
                                        <w:lang w:val="es-MX" w:eastAsia="es-MX"/>
                                      </w:rPr>
                                      <w:t xml:space="preserve"> </w:t>
                                    </w:r>
                                  </w:p>
                                  <w:p w:rsidR="000C0BC7" w:rsidRPr="000C0BC7" w:rsidRDefault="001A5F7E" w:rsidP="000C0BC7">
                                    <w:pPr>
                                      <w:numPr>
                                        <w:ilvl w:val="0"/>
                                        <w:numId w:val="30"/>
                                      </w:numPr>
                                      <w:spacing w:before="100" w:beforeAutospacing="1" w:after="100" w:afterAutospacing="1"/>
                                      <w:rPr>
                                        <w:rFonts w:ascii="Times New Roman" w:hAnsi="Times New Roman"/>
                                        <w:lang w:val="es-MX" w:eastAsia="es-MX"/>
                                      </w:rPr>
                                    </w:pPr>
                                    <w:hyperlink r:id="rId148" w:tgtFrame="_blank" w:history="1">
                                      <w:r w:rsidR="000C0BC7" w:rsidRPr="000C0BC7">
                                        <w:rPr>
                                          <w:rFonts w:ascii="Verdana" w:hAnsi="Verdana"/>
                                          <w:color w:val="186D56"/>
                                          <w:sz w:val="17"/>
                                          <w:szCs w:val="17"/>
                                          <w:lang w:val="es-MX" w:eastAsia="es-MX"/>
                                        </w:rPr>
                                        <w:t xml:space="preserve">Guía de requerimientos mínimos para la valoración de aplicativos informáticos de administración y gestión de información financiera </w:t>
                                      </w:r>
                                    </w:hyperlink>
                                  </w:p>
                                </w:tc>
                              </w:tr>
                            </w:tbl>
                            <w:p w:rsidR="000C0BC7" w:rsidRPr="000C0BC7" w:rsidRDefault="000C0BC7" w:rsidP="000C0BC7">
                              <w:pPr>
                                <w:rPr>
                                  <w:rFonts w:ascii="Times New Roman" w:hAnsi="Times New Roman"/>
                                  <w:vanish/>
                                  <w:lang w:val="es-MX" w:eastAsia="es-MX"/>
                                </w:rPr>
                              </w:pPr>
                            </w:p>
                            <w:tbl>
                              <w:tblPr>
                                <w:tblW w:w="5850" w:type="dxa"/>
                                <w:tblCellSpacing w:w="0" w:type="dxa"/>
                                <w:tblCellMar>
                                  <w:top w:w="15" w:type="dxa"/>
                                  <w:left w:w="15" w:type="dxa"/>
                                  <w:bottom w:w="15" w:type="dxa"/>
                                  <w:right w:w="15" w:type="dxa"/>
                                </w:tblCellMar>
                                <w:tblLook w:val="04A0"/>
                              </w:tblPr>
                              <w:tblGrid>
                                <w:gridCol w:w="1159"/>
                                <w:gridCol w:w="3465"/>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shd w:val="clear" w:color="auto" w:fill="186D56"/>
                                        <w:lang w:val="es-MX" w:eastAsia="es-MX"/>
                                      </w:rPr>
                                      <w:drawing>
                                        <wp:inline distT="0" distB="0" distL="0" distR="0">
                                          <wp:extent cx="3619500" cy="190500"/>
                                          <wp:effectExtent l="19050" t="0" r="0" b="0"/>
                                          <wp:docPr id="76" name="Imagen 76" descr="http://www.conac.gob.mx/imgenes/images/seciones_cons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nac.gob.mx/imgenes/images/seciones_consejo.jpg"/>
                                                  <pic:cNvPicPr>
                                                    <a:picLocks noChangeAspect="1" noChangeArrowheads="1"/>
                                                  </pic:cNvPicPr>
                                                </pic:nvPicPr>
                                                <pic:blipFill>
                                                  <a:blip r:embed="rId149"/>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2010"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noProof/>
                                        <w:lang w:val="es-MX" w:eastAsia="es-MX"/>
                                      </w:rPr>
                                      <w:lastRenderedPageBreak/>
                                      <w:drawing>
                                        <wp:inline distT="0" distB="0" distL="0" distR="0">
                                          <wp:extent cx="952500" cy="609600"/>
                                          <wp:effectExtent l="19050" t="0" r="0" b="0"/>
                                          <wp:docPr id="77" name="Imagen 77" descr="http://www.conac.gob.mx/imgenes/ses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nac.gob.mx/imgenes/sesiones.gif"/>
                                                  <pic:cNvPicPr>
                                                    <a:picLocks noChangeAspect="1" noChangeArrowheads="1"/>
                                                  </pic:cNvPicPr>
                                                </pic:nvPicPr>
                                                <pic:blipFill>
                                                  <a:blip r:embed="rId150"/>
                                                  <a:srcRect/>
                                                  <a:stretch>
                                                    <a:fillRect/>
                                                  </a:stretch>
                                                </pic:blipFill>
                                                <pic:spPr bwMode="auto">
                                                  <a:xfrm>
                                                    <a:off x="0" y="0"/>
                                                    <a:ext cx="952500" cy="609600"/>
                                                  </a:xfrm>
                                                  <a:prstGeom prst="rect">
                                                    <a:avLst/>
                                                  </a:prstGeom>
                                                  <a:noFill/>
                                                  <a:ln w="9525">
                                                    <a:noFill/>
                                                    <a:miter lim="800000"/>
                                                    <a:headEnd/>
                                                    <a:tailEnd/>
                                                  </a:ln>
                                                </pic:spPr>
                                              </pic:pic>
                                            </a:graphicData>
                                          </a:graphic>
                                        </wp:inline>
                                      </w:drawing>
                                    </w:r>
                                  </w:p>
                                </w:tc>
                                <w:tc>
                                  <w:tcPr>
                                    <w:tcW w:w="3840" w:type="dxa"/>
                                    <w:vAlign w:val="center"/>
                                    <w:hideMark/>
                                  </w:tcPr>
                                  <w:p w:rsidR="000C0BC7" w:rsidRPr="000C0BC7" w:rsidRDefault="000C0BC7" w:rsidP="000C0BC7">
                                    <w:pPr>
                                      <w:ind w:left="720"/>
                                      <w:rPr>
                                        <w:rFonts w:ascii="Times New Roman" w:hAnsi="Times New Roman"/>
                                        <w:lang w:val="es-MX" w:eastAsia="es-MX"/>
                                      </w:rPr>
                                    </w:pPr>
                                  </w:p>
                                  <w:p w:rsidR="000C0BC7" w:rsidRPr="000C0BC7" w:rsidRDefault="001A5F7E" w:rsidP="000C0BC7">
                                    <w:pPr>
                                      <w:numPr>
                                        <w:ilvl w:val="0"/>
                                        <w:numId w:val="31"/>
                                      </w:numPr>
                                      <w:spacing w:before="100" w:beforeAutospacing="1" w:after="100" w:afterAutospacing="1"/>
                                      <w:rPr>
                                        <w:rFonts w:ascii="Times New Roman" w:hAnsi="Times New Roman"/>
                                        <w:lang w:val="es-MX" w:eastAsia="es-MX"/>
                                      </w:rPr>
                                    </w:pPr>
                                    <w:hyperlink r:id="rId151" w:history="1">
                                      <w:r w:rsidR="000C0BC7" w:rsidRPr="000C0BC7">
                                        <w:rPr>
                                          <w:rFonts w:ascii="Verdana" w:hAnsi="Verdana"/>
                                          <w:color w:val="186D56"/>
                                          <w:sz w:val="17"/>
                                          <w:szCs w:val="17"/>
                                          <w:lang w:val="es-MX" w:eastAsia="es-MX"/>
                                        </w:rPr>
                                        <w:t xml:space="preserve">Agendas de las Sesiones </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2" w:history="1">
                                      <w:r w:rsidR="000C0BC7" w:rsidRPr="000C0BC7">
                                        <w:rPr>
                                          <w:rFonts w:ascii="Verdana" w:hAnsi="Verdana"/>
                                          <w:color w:val="186D56"/>
                                          <w:sz w:val="17"/>
                                          <w:szCs w:val="17"/>
                                          <w:lang w:val="es-MX" w:eastAsia="es-MX"/>
                                        </w:rPr>
                                        <w:t>29/02/12</w:t>
                                      </w:r>
                                    </w:hyperlink>
                                    <w:r w:rsidR="000C0BC7" w:rsidRPr="000C0BC7">
                                      <w:rPr>
                                        <w:rFonts w:ascii="Times New Roman" w:hAnsi="Times New Roman"/>
                                        <w:lang w:val="es-MX" w:eastAsia="es-MX"/>
                                      </w:rPr>
                                      <w:t xml:space="preserve"> </w:t>
                                    </w:r>
                                  </w:p>
                                  <w:p w:rsidR="000C0BC7" w:rsidRPr="000C0BC7" w:rsidRDefault="001A5F7E" w:rsidP="000C0BC7">
                                    <w:pPr>
                                      <w:numPr>
                                        <w:ilvl w:val="2"/>
                                        <w:numId w:val="31"/>
                                      </w:numPr>
                                      <w:spacing w:before="100" w:beforeAutospacing="1" w:after="100" w:afterAutospacing="1"/>
                                      <w:rPr>
                                        <w:rFonts w:ascii="Times New Roman" w:hAnsi="Times New Roman"/>
                                        <w:lang w:val="es-MX" w:eastAsia="es-MX"/>
                                      </w:rPr>
                                    </w:pPr>
                                    <w:hyperlink r:id="rId153" w:tgtFrame="_blank" w:history="1">
                                      <w:r w:rsidR="000C0BC7" w:rsidRPr="000C0BC7">
                                        <w:rPr>
                                          <w:rFonts w:ascii="Verdana" w:hAnsi="Verdana"/>
                                          <w:color w:val="186D56"/>
                                          <w:sz w:val="17"/>
                                          <w:szCs w:val="17"/>
                                          <w:lang w:val="es-MX" w:eastAsia="es-MX"/>
                                        </w:rPr>
                                        <w:t>Primera Reunión</w:t>
                                      </w:r>
                                    </w:hyperlink>
                                  </w:p>
                                  <w:p w:rsidR="000C0BC7" w:rsidRPr="000C0BC7" w:rsidRDefault="001A5F7E" w:rsidP="000C0BC7">
                                    <w:pPr>
                                      <w:numPr>
                                        <w:ilvl w:val="2"/>
                                        <w:numId w:val="31"/>
                                      </w:numPr>
                                      <w:spacing w:before="100" w:beforeAutospacing="1" w:after="100" w:afterAutospacing="1"/>
                                      <w:rPr>
                                        <w:rFonts w:ascii="Times New Roman" w:hAnsi="Times New Roman"/>
                                        <w:lang w:val="es-MX" w:eastAsia="es-MX"/>
                                      </w:rPr>
                                    </w:pPr>
                                    <w:hyperlink r:id="rId154" w:tgtFrame="_blank" w:history="1">
                                      <w:r w:rsidR="000C0BC7" w:rsidRPr="000C0BC7">
                                        <w:rPr>
                                          <w:rFonts w:ascii="Verdana" w:hAnsi="Verdana"/>
                                          <w:color w:val="186D56"/>
                                          <w:sz w:val="17"/>
                                          <w:szCs w:val="17"/>
                                          <w:lang w:val="es-MX" w:eastAsia="es-MX"/>
                                        </w:rPr>
                                        <w:t>Reunión Protocolaria</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5" w:tgtFrame="_blank" w:history="1">
                                      <w:r w:rsidR="000C0BC7" w:rsidRPr="000C0BC7">
                                        <w:rPr>
                                          <w:rFonts w:ascii="Verdana" w:hAnsi="Verdana"/>
                                          <w:color w:val="186D56"/>
                                          <w:sz w:val="17"/>
                                          <w:szCs w:val="17"/>
                                          <w:lang w:val="es-MX" w:eastAsia="es-MX"/>
                                        </w:rPr>
                                        <w:t>29/11/11</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6" w:tgtFrame="_blank" w:history="1">
                                      <w:r w:rsidR="000C0BC7" w:rsidRPr="000C0BC7">
                                        <w:rPr>
                                          <w:rFonts w:ascii="Verdana" w:hAnsi="Verdana"/>
                                          <w:color w:val="186D56"/>
                                          <w:sz w:val="17"/>
                                          <w:szCs w:val="17"/>
                                          <w:lang w:val="es-MX" w:eastAsia="es-MX"/>
                                        </w:rPr>
                                        <w:t>31/08/11</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7" w:tgtFrame="_blank" w:history="1">
                                      <w:r w:rsidR="000C0BC7" w:rsidRPr="000C0BC7">
                                        <w:rPr>
                                          <w:rFonts w:ascii="Verdana" w:hAnsi="Verdana"/>
                                          <w:color w:val="186D56"/>
                                          <w:sz w:val="17"/>
                                          <w:szCs w:val="17"/>
                                          <w:lang w:val="es-MX" w:eastAsia="es-MX"/>
                                        </w:rPr>
                                        <w:t xml:space="preserve">23/06/11 </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8" w:tgtFrame="_blank" w:history="1">
                                      <w:r w:rsidR="000C0BC7" w:rsidRPr="000C0BC7">
                                        <w:rPr>
                                          <w:rFonts w:ascii="Verdana" w:hAnsi="Verdana"/>
                                          <w:color w:val="186D56"/>
                                          <w:sz w:val="17"/>
                                          <w:szCs w:val="17"/>
                                          <w:lang w:val="es-MX" w:eastAsia="es-MX"/>
                                        </w:rPr>
                                        <w:t>15/12/10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59" w:tgtFrame="_blank" w:history="1">
                                      <w:r w:rsidR="000C0BC7" w:rsidRPr="000C0BC7">
                                        <w:rPr>
                                          <w:rFonts w:ascii="Verdana" w:hAnsi="Verdana"/>
                                          <w:color w:val="186D56"/>
                                          <w:sz w:val="17"/>
                                          <w:szCs w:val="17"/>
                                          <w:lang w:val="es-MX" w:eastAsia="es-MX"/>
                                        </w:rPr>
                                        <w:t>4/11/10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0" w:tgtFrame="_blank" w:history="1">
                                      <w:r w:rsidR="000C0BC7" w:rsidRPr="000C0BC7">
                                        <w:rPr>
                                          <w:rFonts w:ascii="Verdana" w:hAnsi="Verdana"/>
                                          <w:color w:val="186D56"/>
                                          <w:sz w:val="17"/>
                                          <w:szCs w:val="17"/>
                                          <w:lang w:val="es-MX" w:eastAsia="es-MX"/>
                                        </w:rPr>
                                        <w:t>28/05/10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1" w:tgtFrame="_blank" w:history="1">
                                      <w:r w:rsidR="000C0BC7" w:rsidRPr="000C0BC7">
                                        <w:rPr>
                                          <w:rFonts w:ascii="Verdana" w:hAnsi="Verdana"/>
                                          <w:color w:val="186D56"/>
                                          <w:sz w:val="17"/>
                                          <w:szCs w:val="17"/>
                                          <w:lang w:val="es-MX" w:eastAsia="es-MX"/>
                                        </w:rPr>
                                        <w:t>1/12/09</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2" w:tgtFrame="_blank" w:history="1">
                                      <w:r w:rsidR="000C0BC7" w:rsidRPr="000C0BC7">
                                        <w:rPr>
                                          <w:rFonts w:ascii="Verdana" w:hAnsi="Verdana"/>
                                          <w:color w:val="186D56"/>
                                          <w:sz w:val="17"/>
                                          <w:szCs w:val="17"/>
                                          <w:lang w:val="es-MX" w:eastAsia="es-MX"/>
                                        </w:rPr>
                                        <w:t>13/08/09</w:t>
                                      </w:r>
                                    </w:hyperlink>
                                    <w:r w:rsidR="000C0BC7" w:rsidRPr="000C0BC7">
                                      <w:rPr>
                                        <w:rFonts w:ascii="Times New Roman" w:hAnsi="Times New Roman"/>
                                        <w:lang w:val="es-MX" w:eastAsia="es-MX"/>
                                      </w:rPr>
                                      <w:t xml:space="preserve"> </w:t>
                                    </w:r>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3" w:history="1">
                                      <w:r w:rsidR="000C0BC7" w:rsidRPr="000C0BC7">
                                        <w:rPr>
                                          <w:rFonts w:ascii="Verdana" w:hAnsi="Verdana"/>
                                          <w:color w:val="186D56"/>
                                          <w:sz w:val="17"/>
                                          <w:szCs w:val="17"/>
                                          <w:lang w:val="es-MX" w:eastAsia="es-MX"/>
                                        </w:rPr>
                                        <w:t>20/02/09</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4" w:tgtFrame="_blank" w:history="1">
                                      <w:r w:rsidR="000C0BC7" w:rsidRPr="000C0BC7">
                                        <w:rPr>
                                          <w:rFonts w:ascii="Verdana" w:hAnsi="Verdana"/>
                                          <w:color w:val="186D56"/>
                                          <w:sz w:val="17"/>
                                          <w:szCs w:val="17"/>
                                          <w:lang w:val="es-MX" w:eastAsia="es-MX"/>
                                        </w:rPr>
                                        <w:t>27/01/09</w:t>
                                      </w:r>
                                    </w:hyperlink>
                                  </w:p>
                                  <w:p w:rsidR="000C0BC7" w:rsidRPr="000C0BC7" w:rsidRDefault="001A5F7E" w:rsidP="000C0BC7">
                                    <w:pPr>
                                      <w:numPr>
                                        <w:ilvl w:val="0"/>
                                        <w:numId w:val="31"/>
                                      </w:numPr>
                                      <w:spacing w:before="100" w:beforeAutospacing="1" w:after="100" w:afterAutospacing="1"/>
                                      <w:rPr>
                                        <w:rFonts w:ascii="Times New Roman" w:hAnsi="Times New Roman"/>
                                        <w:lang w:val="es-MX" w:eastAsia="es-MX"/>
                                      </w:rPr>
                                    </w:pPr>
                                    <w:hyperlink r:id="rId165" w:history="1">
                                      <w:r w:rsidR="000C0BC7" w:rsidRPr="000C0BC7">
                                        <w:rPr>
                                          <w:rFonts w:ascii="Verdana" w:hAnsi="Verdana"/>
                                          <w:color w:val="186D56"/>
                                          <w:sz w:val="17"/>
                                          <w:szCs w:val="17"/>
                                          <w:lang w:val="es-MX" w:eastAsia="es-MX"/>
                                        </w:rPr>
                                        <w:t>Actas de las Sesiones de Trabajo</w:t>
                                      </w:r>
                                    </w:hyperlink>
                                    <w:r w:rsidR="000C0BC7" w:rsidRPr="000C0BC7">
                                      <w:rPr>
                                        <w:rFonts w:ascii="Times New Roman" w:hAnsi="Times New Roman"/>
                                        <w:lang w:val="es-MX" w:eastAsia="es-MX"/>
                                      </w:rPr>
                                      <w:t xml:space="preserve"> </w:t>
                                    </w:r>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6" w:tgtFrame="_blank" w:history="1">
                                      <w:r w:rsidR="000C0BC7" w:rsidRPr="000C0BC7">
                                        <w:rPr>
                                          <w:rFonts w:ascii="Verdana" w:hAnsi="Verdana"/>
                                          <w:color w:val="186D56"/>
                                          <w:sz w:val="17"/>
                                          <w:szCs w:val="17"/>
                                          <w:lang w:val="es-MX" w:eastAsia="es-MX"/>
                                        </w:rPr>
                                        <w:t>29/02/12</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7" w:tgtFrame="_blank" w:history="1">
                                      <w:r w:rsidR="000C0BC7" w:rsidRPr="000C0BC7">
                                        <w:rPr>
                                          <w:rFonts w:ascii="Verdana" w:hAnsi="Verdana"/>
                                          <w:color w:val="186D56"/>
                                          <w:sz w:val="17"/>
                                          <w:szCs w:val="17"/>
                                          <w:lang w:val="es-MX" w:eastAsia="es-MX"/>
                                        </w:rPr>
                                        <w:t>29/11/11</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8" w:history="1">
                                      <w:r w:rsidR="000C0BC7" w:rsidRPr="000C0BC7">
                                        <w:rPr>
                                          <w:rFonts w:ascii="Verdana" w:hAnsi="Verdana"/>
                                          <w:color w:val="186D56"/>
                                          <w:sz w:val="17"/>
                                          <w:szCs w:val="17"/>
                                          <w:lang w:val="es-MX" w:eastAsia="es-MX"/>
                                        </w:rPr>
                                        <w:t>31/08/11</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69" w:tgtFrame="_blank" w:history="1">
                                      <w:r w:rsidR="000C0BC7" w:rsidRPr="000C0BC7">
                                        <w:rPr>
                                          <w:rFonts w:ascii="Verdana" w:hAnsi="Verdana"/>
                                          <w:color w:val="186D56"/>
                                          <w:sz w:val="17"/>
                                          <w:szCs w:val="17"/>
                                          <w:lang w:val="es-MX" w:eastAsia="es-MX"/>
                                        </w:rPr>
                                        <w:t>23/06/11</w:t>
                                      </w:r>
                                    </w:hyperlink>
                                    <w:r w:rsidR="000C0BC7" w:rsidRPr="000C0BC7">
                                      <w:rPr>
                                        <w:rFonts w:ascii="Times New Roman" w:hAnsi="Times New Roman"/>
                                        <w:lang w:val="es-MX" w:eastAsia="es-MX"/>
                                      </w:rPr>
                                      <w:t xml:space="preserve">  </w:t>
                                    </w:r>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0" w:tgtFrame="_blank" w:history="1">
                                      <w:r w:rsidR="000C0BC7" w:rsidRPr="000C0BC7">
                                        <w:rPr>
                                          <w:rFonts w:ascii="Verdana" w:hAnsi="Verdana"/>
                                          <w:color w:val="186D56"/>
                                          <w:sz w:val="17"/>
                                          <w:szCs w:val="17"/>
                                          <w:lang w:val="es-MX" w:eastAsia="es-MX"/>
                                        </w:rPr>
                                        <w:t>15/12/10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1" w:tgtFrame="_blank" w:history="1">
                                      <w:r w:rsidR="000C0BC7" w:rsidRPr="000C0BC7">
                                        <w:rPr>
                                          <w:rFonts w:ascii="Verdana" w:hAnsi="Verdana"/>
                                          <w:color w:val="186D56"/>
                                          <w:sz w:val="17"/>
                                          <w:szCs w:val="17"/>
                                          <w:lang w:val="es-MX" w:eastAsia="es-MX"/>
                                        </w:rPr>
                                        <w:t>4/11/10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2" w:tgtFrame="_blank" w:history="1">
                                      <w:r w:rsidR="000C0BC7" w:rsidRPr="000C0BC7">
                                        <w:rPr>
                                          <w:rFonts w:ascii="Verdana" w:hAnsi="Verdana"/>
                                          <w:color w:val="186D56"/>
                                          <w:sz w:val="17"/>
                                          <w:szCs w:val="17"/>
                                          <w:lang w:val="es-MX" w:eastAsia="es-MX"/>
                                        </w:rPr>
                                        <w:t>28/05/10</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3" w:tgtFrame="_blank" w:history="1">
                                      <w:r w:rsidR="000C0BC7" w:rsidRPr="000C0BC7">
                                        <w:rPr>
                                          <w:rFonts w:ascii="Verdana" w:hAnsi="Verdana"/>
                                          <w:color w:val="186D56"/>
                                          <w:sz w:val="17"/>
                                          <w:szCs w:val="17"/>
                                          <w:lang w:val="es-MX" w:eastAsia="es-MX"/>
                                        </w:rPr>
                                        <w:t>1/12/09</w:t>
                                      </w:r>
                                    </w:hyperlink>
                                    <w:r w:rsidR="000C0BC7" w:rsidRPr="000C0BC7">
                                      <w:rPr>
                                        <w:rFonts w:ascii="Times New Roman" w:hAnsi="Times New Roman"/>
                                        <w:lang w:val="es-MX" w:eastAsia="es-MX"/>
                                      </w:rPr>
                                      <w:t xml:space="preserve"> </w:t>
                                    </w:r>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4" w:tgtFrame="_blank" w:history="1">
                                      <w:r w:rsidR="000C0BC7" w:rsidRPr="000C0BC7">
                                        <w:rPr>
                                          <w:rFonts w:ascii="Verdana" w:hAnsi="Verdana"/>
                                          <w:color w:val="186D56"/>
                                          <w:sz w:val="17"/>
                                          <w:szCs w:val="17"/>
                                          <w:lang w:val="es-MX" w:eastAsia="es-MX"/>
                                        </w:rPr>
                                        <w:t>13/08/09</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5" w:tgtFrame="_blank" w:history="1">
                                      <w:r w:rsidR="000C0BC7" w:rsidRPr="000C0BC7">
                                        <w:rPr>
                                          <w:rFonts w:ascii="Verdana" w:hAnsi="Verdana"/>
                                          <w:color w:val="186D56"/>
                                          <w:sz w:val="17"/>
                                          <w:szCs w:val="17"/>
                                          <w:lang w:val="es-MX" w:eastAsia="es-MX"/>
                                        </w:rPr>
                                        <w:t>20/02/09</w:t>
                                      </w:r>
                                    </w:hyperlink>
                                  </w:p>
                                  <w:p w:rsidR="000C0BC7" w:rsidRPr="000C0BC7" w:rsidRDefault="001A5F7E" w:rsidP="000C0BC7">
                                    <w:pPr>
                                      <w:numPr>
                                        <w:ilvl w:val="1"/>
                                        <w:numId w:val="31"/>
                                      </w:numPr>
                                      <w:spacing w:before="100" w:beforeAutospacing="1" w:after="100" w:afterAutospacing="1"/>
                                      <w:rPr>
                                        <w:rFonts w:ascii="Times New Roman" w:hAnsi="Times New Roman"/>
                                        <w:lang w:val="es-MX" w:eastAsia="es-MX"/>
                                      </w:rPr>
                                    </w:pPr>
                                    <w:hyperlink r:id="rId176" w:tgtFrame="_blank" w:history="1">
                                      <w:r w:rsidR="000C0BC7" w:rsidRPr="000C0BC7">
                                        <w:rPr>
                                          <w:rFonts w:ascii="Verdana" w:hAnsi="Verdana"/>
                                          <w:color w:val="186D56"/>
                                          <w:sz w:val="17"/>
                                          <w:szCs w:val="17"/>
                                          <w:lang w:val="es-MX" w:eastAsia="es-MX"/>
                                        </w:rPr>
                                        <w:t>27/01/09</w:t>
                                      </w:r>
                                    </w:hyperlink>
                                  </w:p>
                                </w:tc>
                              </w:tr>
                            </w:tbl>
                            <w:p w:rsidR="000C0BC7" w:rsidRPr="000C0BC7" w:rsidRDefault="000C0BC7" w:rsidP="000C0BC7">
                              <w:pPr>
                                <w:rPr>
                                  <w:rFonts w:ascii="Times New Roman" w:hAnsi="Times New Roman"/>
                                  <w:vanish/>
                                  <w:lang w:val="es-MX" w:eastAsia="es-MX"/>
                                </w:rPr>
                              </w:pPr>
                            </w:p>
                            <w:tbl>
                              <w:tblPr>
                                <w:tblW w:w="5850" w:type="dxa"/>
                                <w:tblCellSpacing w:w="0" w:type="dxa"/>
                                <w:tblCellMar>
                                  <w:top w:w="15" w:type="dxa"/>
                                  <w:left w:w="15" w:type="dxa"/>
                                  <w:bottom w:w="15" w:type="dxa"/>
                                  <w:right w:w="15" w:type="dxa"/>
                                </w:tblCellMar>
                                <w:tblLook w:val="04A0"/>
                              </w:tblPr>
                              <w:tblGrid>
                                <w:gridCol w:w="1830"/>
                                <w:gridCol w:w="3960"/>
                                <w:gridCol w:w="60"/>
                              </w:tblGrid>
                              <w:tr w:rsidR="000C0BC7" w:rsidRPr="000C0BC7">
                                <w:trPr>
                                  <w:trHeight w:val="450"/>
                                  <w:tblCellSpacing w:w="0" w:type="dxa"/>
                                </w:trPr>
                                <w:tc>
                                  <w:tcPr>
                                    <w:tcW w:w="0" w:type="auto"/>
                                    <w:gridSpan w:val="3"/>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drawing>
                                        <wp:inline distT="0" distB="0" distL="0" distR="0">
                                          <wp:extent cx="3619500" cy="190500"/>
                                          <wp:effectExtent l="19050" t="0" r="0" b="0"/>
                                          <wp:docPr id="78" name="Imagen 78" descr="http://www.conac.gob.mx/imgenes/images/info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nac.gob.mx/imgenes/images/informes.jpg"/>
                                                  <pic:cNvPicPr>
                                                    <a:picLocks noChangeAspect="1" noChangeArrowheads="1"/>
                                                  </pic:cNvPicPr>
                                                </pic:nvPicPr>
                                                <pic:blipFill>
                                                  <a:blip r:embed="rId177"/>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1830"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noProof/>
                                        <w:lang w:val="es-MX" w:eastAsia="es-MX"/>
                                      </w:rPr>
                                      <w:drawing>
                                        <wp:inline distT="0" distB="0" distL="0" distR="0">
                                          <wp:extent cx="952500" cy="1238250"/>
                                          <wp:effectExtent l="19050" t="0" r="0" b="0"/>
                                          <wp:docPr id="18" name="Imagen 79" descr="http://www.conac.gob.mx/imgenes/info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nac.gob.mx/imgenes/informes.jpg"/>
                                                  <pic:cNvPicPr>
                                                    <a:picLocks noChangeAspect="1" noChangeArrowheads="1"/>
                                                  </pic:cNvPicPr>
                                                </pic:nvPicPr>
                                                <pic:blipFill>
                                                  <a:blip r:embed="rId178"/>
                                                  <a:srcRect/>
                                                  <a:stretch>
                                                    <a:fillRect/>
                                                  </a:stretch>
                                                </pic:blipFill>
                                                <pic:spPr bwMode="auto">
                                                  <a:xfrm>
                                                    <a:off x="0" y="0"/>
                                                    <a:ext cx="952500" cy="1238250"/>
                                                  </a:xfrm>
                                                  <a:prstGeom prst="rect">
                                                    <a:avLst/>
                                                  </a:prstGeom>
                                                  <a:noFill/>
                                                  <a:ln w="9525">
                                                    <a:noFill/>
                                                    <a:miter lim="800000"/>
                                                    <a:headEnd/>
                                                    <a:tailEnd/>
                                                  </a:ln>
                                                </pic:spPr>
                                              </pic:pic>
                                            </a:graphicData>
                                          </a:graphic>
                                        </wp:inline>
                                      </w:drawing>
                                    </w:r>
                                    <w:r w:rsidRPr="000C0BC7">
                                      <w:rPr>
                                        <w:rFonts w:ascii="Times New Roman" w:hAnsi="Times New Roman"/>
                                        <w:lang w:val="es-MX" w:eastAsia="es-MX"/>
                                      </w:rPr>
                                      <w:br/>
                                      <w:t> </w:t>
                                    </w:r>
                                  </w:p>
                                </w:tc>
                                <w:tc>
                                  <w:tcPr>
                                    <w:tcW w:w="3960" w:type="dxa"/>
                                    <w:vAlign w:val="center"/>
                                    <w:hideMark/>
                                  </w:tcPr>
                                  <w:p w:rsidR="000C0BC7" w:rsidRPr="000C0BC7" w:rsidRDefault="001A5F7E" w:rsidP="000C0BC7">
                                    <w:pPr>
                                      <w:numPr>
                                        <w:ilvl w:val="0"/>
                                        <w:numId w:val="32"/>
                                      </w:numPr>
                                      <w:spacing w:before="100" w:beforeAutospacing="1" w:after="100" w:afterAutospacing="1"/>
                                      <w:rPr>
                                        <w:rFonts w:ascii="Times New Roman" w:hAnsi="Times New Roman"/>
                                        <w:lang w:val="es-MX" w:eastAsia="es-MX"/>
                                      </w:rPr>
                                    </w:pPr>
                                    <w:hyperlink r:id="rId179" w:tgtFrame="_blank" w:history="1">
                                      <w:r w:rsidR="000C0BC7" w:rsidRPr="000C0BC7">
                                        <w:rPr>
                                          <w:rFonts w:ascii="Verdana" w:hAnsi="Verdana"/>
                                          <w:color w:val="186D56"/>
                                          <w:sz w:val="17"/>
                                          <w:szCs w:val="17"/>
                                          <w:lang w:val="es-MX" w:eastAsia="es-MX"/>
                                        </w:rPr>
                                        <w:t>Informe del Análisis Sobre el Alcance de la Ley General de Contabilidad Gubernamental en los Órganos Político Administrativos de las Demarcaciones Territoriales del Distrito Federal</w:t>
                                      </w:r>
                                    </w:hyperlink>
                                    <w:r w:rsidR="000C0BC7" w:rsidRPr="000C0BC7">
                                      <w:rPr>
                                        <w:rFonts w:ascii="Times New Roman" w:hAnsi="Times New Roman"/>
                                        <w:lang w:val="es-MX" w:eastAsia="es-MX"/>
                                      </w:rPr>
                                      <w:t xml:space="preserve"> </w:t>
                                    </w:r>
                                  </w:p>
                                  <w:p w:rsidR="000C0BC7" w:rsidRPr="000C0BC7" w:rsidRDefault="001A5F7E" w:rsidP="000C0BC7">
                                    <w:pPr>
                                      <w:numPr>
                                        <w:ilvl w:val="0"/>
                                        <w:numId w:val="32"/>
                                      </w:numPr>
                                      <w:spacing w:before="100" w:beforeAutospacing="1" w:after="100" w:afterAutospacing="1"/>
                                      <w:rPr>
                                        <w:rFonts w:ascii="Times New Roman" w:hAnsi="Times New Roman"/>
                                        <w:lang w:val="es-MX" w:eastAsia="es-MX"/>
                                      </w:rPr>
                                    </w:pPr>
                                    <w:hyperlink r:id="rId180" w:tgtFrame="_blank" w:history="1">
                                      <w:r w:rsidR="000C0BC7" w:rsidRPr="000C0BC7">
                                        <w:rPr>
                                          <w:rFonts w:ascii="Verdana" w:hAnsi="Verdana"/>
                                          <w:color w:val="186D56"/>
                                          <w:sz w:val="17"/>
                                          <w:szCs w:val="17"/>
                                          <w:lang w:val="es-MX" w:eastAsia="es-MX"/>
                                        </w:rPr>
                                        <w:t xml:space="preserve">Acuerdo de Interpretación Sobre las Obligaciones Establecidas en los Artículos Transitorios de la Ley General de Contabilidad Gubernamental </w:t>
                                      </w:r>
                                    </w:hyperlink>
                                  </w:p>
                                </w:tc>
                                <w:tc>
                                  <w:tcPr>
                                    <w:tcW w:w="0" w:type="auto"/>
                                    <w:vAlign w:val="center"/>
                                    <w:hideMark/>
                                  </w:tcPr>
                                  <w:p w:rsidR="000C0BC7" w:rsidRPr="000C0BC7" w:rsidRDefault="000C0BC7" w:rsidP="000C0BC7">
                                    <w:pPr>
                                      <w:rPr>
                                        <w:rFonts w:ascii="Times New Roman" w:hAnsi="Times New Roman"/>
                                        <w:sz w:val="20"/>
                                        <w:szCs w:val="20"/>
                                        <w:lang w:val="es-MX" w:eastAsia="es-MX"/>
                                      </w:rPr>
                                    </w:pPr>
                                  </w:p>
                                </w:tc>
                              </w:tr>
                            </w:tbl>
                            <w:p w:rsidR="000C0BC7" w:rsidRPr="000C0BC7" w:rsidRDefault="000C0BC7" w:rsidP="000C0BC7">
                              <w:pPr>
                                <w:rPr>
                                  <w:rFonts w:ascii="Times New Roman" w:hAnsi="Times New Roman"/>
                                  <w:vanish/>
                                  <w:lang w:val="es-MX" w:eastAsia="es-MX"/>
                                </w:rPr>
                              </w:pPr>
                            </w:p>
                            <w:tbl>
                              <w:tblPr>
                                <w:tblW w:w="5850" w:type="dxa"/>
                                <w:tblCellSpacing w:w="0" w:type="dxa"/>
                                <w:tblCellMar>
                                  <w:top w:w="15" w:type="dxa"/>
                                  <w:left w:w="15" w:type="dxa"/>
                                  <w:bottom w:w="15" w:type="dxa"/>
                                  <w:right w:w="15" w:type="dxa"/>
                                </w:tblCellMar>
                                <w:tblLook w:val="04A0"/>
                              </w:tblPr>
                              <w:tblGrid>
                                <w:gridCol w:w="1227"/>
                                <w:gridCol w:w="3397"/>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drawing>
                                        <wp:inline distT="0" distB="0" distL="0" distR="0">
                                          <wp:extent cx="3619500" cy="190500"/>
                                          <wp:effectExtent l="19050" t="0" r="0" b="0"/>
                                          <wp:docPr id="19" name="Imagen 80" descr="http://www.conac.gob.mx/imgenes/images/line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onac.gob.mx/imgenes/images/lineamientos.jpg"/>
                                                  <pic:cNvPicPr>
                                                    <a:picLocks noChangeAspect="1" noChangeArrowheads="1"/>
                                                  </pic:cNvPicPr>
                                                </pic:nvPicPr>
                                                <pic:blipFill>
                                                  <a:blip r:embed="rId181"/>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1845"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noProof/>
                                        <w:lang w:val="es-MX" w:eastAsia="es-MX"/>
                                      </w:rPr>
                                      <w:drawing>
                                        <wp:inline distT="0" distB="0" distL="0" distR="0">
                                          <wp:extent cx="952500" cy="990600"/>
                                          <wp:effectExtent l="19050" t="0" r="0" b="0"/>
                                          <wp:docPr id="20" name="Imagen 81" descr="http://www.conac.gob.mx/imgenes/lineamien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onac.gob.mx/imgenes/lineamientos.gif"/>
                                                  <pic:cNvPicPr>
                                                    <a:picLocks noChangeAspect="1" noChangeArrowheads="1"/>
                                                  </pic:cNvPicPr>
                                                </pic:nvPicPr>
                                                <pic:blipFill>
                                                  <a:blip r:embed="rId182"/>
                                                  <a:srcRect/>
                                                  <a:stretch>
                                                    <a:fillRect/>
                                                  </a:stretch>
                                                </pic:blipFill>
                                                <pic:spPr bwMode="auto">
                                                  <a:xfrm>
                                                    <a:off x="0" y="0"/>
                                                    <a:ext cx="952500" cy="990600"/>
                                                  </a:xfrm>
                                                  <a:prstGeom prst="rect">
                                                    <a:avLst/>
                                                  </a:prstGeom>
                                                  <a:noFill/>
                                                  <a:ln w="9525">
                                                    <a:noFill/>
                                                    <a:miter lim="800000"/>
                                                    <a:headEnd/>
                                                    <a:tailEnd/>
                                                  </a:ln>
                                                </pic:spPr>
                                              </pic:pic>
                                            </a:graphicData>
                                          </a:graphic>
                                        </wp:inline>
                                      </w:drawing>
                                    </w:r>
                                    <w:r w:rsidRPr="000C0BC7">
                                      <w:rPr>
                                        <w:rFonts w:ascii="Times New Roman" w:hAnsi="Times New Roman"/>
                                        <w:lang w:val="es-MX" w:eastAsia="es-MX"/>
                                      </w:rPr>
                                      <w:lastRenderedPageBreak/>
                                      <w:br/>
                                      <w:t> </w:t>
                                    </w:r>
                                  </w:p>
                                </w:tc>
                                <w:tc>
                                  <w:tcPr>
                                    <w:tcW w:w="3960" w:type="dxa"/>
                                    <w:vAlign w:val="center"/>
                                    <w:hideMark/>
                                  </w:tcPr>
                                  <w:p w:rsidR="000C0BC7" w:rsidRPr="000C0BC7" w:rsidRDefault="001A5F7E" w:rsidP="000C0BC7">
                                    <w:pPr>
                                      <w:numPr>
                                        <w:ilvl w:val="0"/>
                                        <w:numId w:val="33"/>
                                      </w:numPr>
                                      <w:spacing w:before="100" w:beforeAutospacing="1" w:after="100" w:afterAutospacing="1"/>
                                      <w:rPr>
                                        <w:rFonts w:ascii="Times New Roman" w:hAnsi="Times New Roman"/>
                                        <w:lang w:val="es-MX" w:eastAsia="es-MX"/>
                                      </w:rPr>
                                    </w:pPr>
                                    <w:hyperlink r:id="rId183" w:history="1">
                                      <w:r w:rsidR="000C0BC7" w:rsidRPr="000C0BC7">
                                        <w:rPr>
                                          <w:rFonts w:ascii="Verdana" w:hAnsi="Verdana"/>
                                          <w:color w:val="186D56"/>
                                          <w:sz w:val="17"/>
                                          <w:szCs w:val="17"/>
                                          <w:lang w:val="es-MX" w:eastAsia="es-MX"/>
                                        </w:rPr>
                                        <w:t>Lineamientos para el otorgamiento de subsidios dirigidos a apoyar la Armonización de la Contabilidad Gubernamental de los Municipios con una población menor a veinticinco mil habitantes</w:t>
                                      </w:r>
                                    </w:hyperlink>
                                    <w:r w:rsidR="000C0BC7" w:rsidRPr="000C0BC7">
                                      <w:rPr>
                                        <w:rFonts w:ascii="Times New Roman" w:hAnsi="Times New Roman"/>
                                        <w:lang w:val="es-MX" w:eastAsia="es-MX"/>
                                      </w:rPr>
                                      <w:t xml:space="preserve"> </w:t>
                                    </w:r>
                                  </w:p>
                                  <w:p w:rsidR="000C0BC7" w:rsidRPr="000C0BC7" w:rsidRDefault="001A5F7E" w:rsidP="000C0BC7">
                                    <w:pPr>
                                      <w:numPr>
                                        <w:ilvl w:val="1"/>
                                        <w:numId w:val="33"/>
                                      </w:numPr>
                                      <w:spacing w:before="100" w:beforeAutospacing="1" w:after="100" w:afterAutospacing="1"/>
                                      <w:rPr>
                                        <w:rFonts w:ascii="Times New Roman" w:hAnsi="Times New Roman"/>
                                        <w:lang w:val="es-MX" w:eastAsia="es-MX"/>
                                      </w:rPr>
                                    </w:pPr>
                                    <w:hyperlink r:id="rId184" w:tgtFrame="_blank" w:history="1">
                                      <w:r w:rsidR="000C0BC7" w:rsidRPr="000C0BC7">
                                        <w:rPr>
                                          <w:rFonts w:ascii="Verdana" w:hAnsi="Verdana"/>
                                          <w:color w:val="186D56"/>
                                          <w:sz w:val="17"/>
                                          <w:szCs w:val="17"/>
                                          <w:lang w:val="es-MX" w:eastAsia="es-MX"/>
                                        </w:rPr>
                                        <w:t xml:space="preserve">Mecanismo y </w:t>
                                      </w:r>
                                      <w:r w:rsidR="000C0BC7" w:rsidRPr="000C0BC7">
                                        <w:rPr>
                                          <w:rFonts w:ascii="Verdana" w:hAnsi="Verdana"/>
                                          <w:color w:val="186D56"/>
                                          <w:sz w:val="17"/>
                                          <w:szCs w:val="17"/>
                                          <w:lang w:val="es-MX" w:eastAsia="es-MX"/>
                                        </w:rPr>
                                        <w:lastRenderedPageBreak/>
                                        <w:t>estrategia general para la entrega del paquete informático a los municipios con una población menor a veinticinco mil habitantes</w:t>
                                      </w:r>
                                    </w:hyperlink>
                                    <w:r w:rsidR="000C0BC7" w:rsidRPr="000C0BC7">
                                      <w:rPr>
                                        <w:rFonts w:ascii="Times New Roman" w:hAnsi="Times New Roman"/>
                                        <w:lang w:val="es-MX" w:eastAsia="es-MX"/>
                                      </w:rPr>
                                      <w:t xml:space="preserve">. </w:t>
                                    </w:r>
                                    <w:r w:rsidR="000C0BC7" w:rsidRPr="000C0BC7">
                                      <w:rPr>
                                        <w:rFonts w:ascii="Times New Roman" w:hAnsi="Times New Roman"/>
                                        <w:lang w:val="es-MX" w:eastAsia="es-MX"/>
                                      </w:rPr>
                                      <w:br/>
                                    </w:r>
                                    <w:r w:rsidR="000C0BC7" w:rsidRPr="000C0BC7">
                                      <w:rPr>
                                        <w:rFonts w:ascii="Verdana" w:hAnsi="Verdana"/>
                                        <w:color w:val="186D56"/>
                                        <w:sz w:val="17"/>
                                        <w:szCs w:val="17"/>
                                        <w:lang w:val="es-MX" w:eastAsia="es-MX"/>
                                      </w:rPr>
                                      <w:t xml:space="preserve">(La solicitud de incorporación al esquema de apoyo deberá remitirse a las siguientes direcciones de correo electrónico: </w:t>
                                    </w:r>
                                    <w:hyperlink r:id="rId185" w:history="1">
                                      <w:r w:rsidR="000C0BC7" w:rsidRPr="000C0BC7">
                                        <w:rPr>
                                          <w:rFonts w:ascii="Verdana" w:hAnsi="Verdana"/>
                                          <w:color w:val="186D56"/>
                                          <w:sz w:val="17"/>
                                          <w:szCs w:val="17"/>
                                          <w:lang w:val="es-MX" w:eastAsia="es-MX"/>
                                        </w:rPr>
                                        <w:t>conac_sriotecnico@hacienda.gob.mx</w:t>
                                      </w:r>
                                    </w:hyperlink>
                                    <w:r w:rsidR="000C0BC7" w:rsidRPr="000C0BC7">
                                      <w:rPr>
                                        <w:rFonts w:ascii="Verdana" w:hAnsi="Verdana"/>
                                        <w:color w:val="186D56"/>
                                        <w:sz w:val="17"/>
                                        <w:szCs w:val="17"/>
                                        <w:lang w:val="es-MX" w:eastAsia="es-MX"/>
                                      </w:rPr>
                                      <w:t xml:space="preserve">; </w:t>
                                    </w:r>
                                    <w:hyperlink r:id="rId186" w:history="1">
                                      <w:r w:rsidR="000C0BC7" w:rsidRPr="000C0BC7">
                                        <w:rPr>
                                          <w:rFonts w:ascii="Verdana" w:hAnsi="Verdana"/>
                                          <w:color w:val="186D56"/>
                                          <w:sz w:val="17"/>
                                          <w:szCs w:val="17"/>
                                          <w:lang w:val="es-MX" w:eastAsia="es-MX"/>
                                        </w:rPr>
                                        <w:t>moises_alcalde@hacienda.gob.mx</w:t>
                                      </w:r>
                                    </w:hyperlink>
                                    <w:r w:rsidR="000C0BC7" w:rsidRPr="000C0BC7">
                                      <w:rPr>
                                        <w:rFonts w:ascii="Verdana" w:hAnsi="Verdana"/>
                                        <w:color w:val="186D56"/>
                                        <w:sz w:val="17"/>
                                        <w:szCs w:val="17"/>
                                        <w:lang w:val="es-MX" w:eastAsia="es-MX"/>
                                      </w:rPr>
                                      <w:t>)</w:t>
                                    </w:r>
                                    <w:r w:rsidR="000C0BC7" w:rsidRPr="000C0BC7">
                                      <w:rPr>
                                        <w:rFonts w:ascii="Times New Roman" w:hAnsi="Times New Roman"/>
                                        <w:lang w:val="es-MX" w:eastAsia="es-MX"/>
                                      </w:rPr>
                                      <w:t xml:space="preserve"> </w:t>
                                    </w:r>
                                  </w:p>
                                  <w:p w:rsidR="000C0BC7" w:rsidRPr="000C0BC7" w:rsidRDefault="001A5F7E" w:rsidP="000C0BC7">
                                    <w:pPr>
                                      <w:numPr>
                                        <w:ilvl w:val="0"/>
                                        <w:numId w:val="33"/>
                                      </w:numPr>
                                      <w:spacing w:before="100" w:beforeAutospacing="1" w:after="100" w:afterAutospacing="1"/>
                                      <w:rPr>
                                        <w:rFonts w:ascii="Times New Roman" w:hAnsi="Times New Roman"/>
                                        <w:lang w:val="es-MX" w:eastAsia="es-MX"/>
                                      </w:rPr>
                                    </w:pPr>
                                    <w:hyperlink r:id="rId187" w:tgtFrame="_blank" w:history="1">
                                      <w:r w:rsidR="000C0BC7" w:rsidRPr="000C0BC7">
                                        <w:rPr>
                                          <w:rFonts w:ascii="Verdana" w:hAnsi="Verdana"/>
                                          <w:color w:val="186D56"/>
                                          <w:sz w:val="17"/>
                                          <w:szCs w:val="17"/>
                                          <w:lang w:val="es-MX" w:eastAsia="es-MX"/>
                                        </w:rPr>
                                        <w:t xml:space="preserve">Lineamientos de la Estrategia de Armonización para la Administración Pública Federal Paraestatal a efecto de dar Cumplimiento a la Ley General de Contabilidad Gubernamental. </w:t>
                                      </w:r>
                                    </w:hyperlink>
                                  </w:p>
                                  <w:p w:rsidR="000C0BC7" w:rsidRPr="000C0BC7" w:rsidRDefault="001A5F7E" w:rsidP="000C0BC7">
                                    <w:pPr>
                                      <w:numPr>
                                        <w:ilvl w:val="0"/>
                                        <w:numId w:val="33"/>
                                      </w:numPr>
                                      <w:spacing w:before="100" w:beforeAutospacing="1" w:after="100" w:afterAutospacing="1"/>
                                      <w:rPr>
                                        <w:rFonts w:ascii="Times New Roman" w:hAnsi="Times New Roman"/>
                                        <w:lang w:val="es-MX" w:eastAsia="es-MX"/>
                                      </w:rPr>
                                    </w:pPr>
                                    <w:hyperlink r:id="rId188" w:tgtFrame="_blank" w:history="1">
                                      <w:r w:rsidR="000C0BC7" w:rsidRPr="000C0BC7">
                                        <w:rPr>
                                          <w:rFonts w:ascii="Verdana" w:hAnsi="Verdana"/>
                                          <w:color w:val="186D56"/>
                                          <w:sz w:val="17"/>
                                          <w:szCs w:val="17"/>
                                          <w:lang w:val="es-MX" w:eastAsia="es-MX"/>
                                        </w:rPr>
                                        <w:t>Metodología que permita hacer comparables las cifras presupuestales de los últimos seis ejercicios fiscales del ámbito federal</w:t>
                                      </w:r>
                                    </w:hyperlink>
                                  </w:p>
                                  <w:p w:rsidR="000C0BC7" w:rsidRPr="000C0BC7" w:rsidRDefault="001A5F7E" w:rsidP="000C0BC7">
                                    <w:pPr>
                                      <w:numPr>
                                        <w:ilvl w:val="0"/>
                                        <w:numId w:val="33"/>
                                      </w:numPr>
                                      <w:spacing w:before="100" w:beforeAutospacing="1" w:after="100" w:afterAutospacing="1"/>
                                      <w:rPr>
                                        <w:rFonts w:ascii="Times New Roman" w:hAnsi="Times New Roman"/>
                                        <w:lang w:val="es-MX" w:eastAsia="es-MX"/>
                                      </w:rPr>
                                    </w:pPr>
                                    <w:hyperlink r:id="rId189" w:tgtFrame="_blank" w:history="1">
                                      <w:r w:rsidR="000C0BC7" w:rsidRPr="000C0BC7">
                                        <w:rPr>
                                          <w:rFonts w:ascii="Verdana" w:hAnsi="Verdana"/>
                                          <w:color w:val="186D56"/>
                                          <w:sz w:val="17"/>
                                          <w:szCs w:val="17"/>
                                          <w:lang w:val="es-MX" w:eastAsia="es-MX"/>
                                        </w:rPr>
                                        <w:t>Lineamientos sobre los Indicadores para Medir los Avances Físicos y Financieros relacionados con los Recursos Públicos Federales</w:t>
                                      </w:r>
                                    </w:hyperlink>
                                    <w:r w:rsidR="000C0BC7" w:rsidRPr="000C0BC7">
                                      <w:rPr>
                                        <w:rFonts w:ascii="Times New Roman" w:hAnsi="Times New Roman"/>
                                        <w:lang w:val="es-MX" w:eastAsia="es-MX"/>
                                      </w:rPr>
                                      <w:t>.</w:t>
                                    </w:r>
                                  </w:p>
                                  <w:p w:rsidR="000C0BC7" w:rsidRPr="000C0BC7" w:rsidRDefault="000C0BC7" w:rsidP="000C0BC7">
                                    <w:pPr>
                                      <w:spacing w:before="100" w:beforeAutospacing="1" w:after="100" w:afterAutospacing="1"/>
                                      <w:rPr>
                                        <w:rFonts w:ascii="Times New Roman" w:hAnsi="Times New Roman"/>
                                        <w:color w:val="333333"/>
                                        <w:sz w:val="18"/>
                                        <w:szCs w:val="18"/>
                                        <w:lang w:val="es-MX" w:eastAsia="es-MX"/>
                                      </w:rPr>
                                    </w:pPr>
                                    <w:r w:rsidRPr="000C0BC7">
                                      <w:rPr>
                                        <w:rFonts w:ascii="Times New Roman" w:hAnsi="Times New Roman"/>
                                        <w:color w:val="333333"/>
                                        <w:sz w:val="18"/>
                                        <w:szCs w:val="18"/>
                                        <w:lang w:val="es-MX" w:eastAsia="es-MX"/>
                                      </w:rPr>
                                      <w:t> </w:t>
                                    </w:r>
                                  </w:p>
                                </w:tc>
                              </w:tr>
                            </w:tbl>
                            <w:p w:rsidR="000C0BC7" w:rsidRPr="000C0BC7" w:rsidRDefault="000C0BC7" w:rsidP="000C0BC7">
                              <w:pPr>
                                <w:rPr>
                                  <w:rFonts w:ascii="Times New Roman" w:hAnsi="Times New Roman"/>
                                  <w:vanish/>
                                  <w:lang w:val="es-MX" w:eastAsia="es-MX"/>
                                </w:rPr>
                              </w:pPr>
                            </w:p>
                            <w:tbl>
                              <w:tblPr>
                                <w:tblW w:w="0" w:type="auto"/>
                                <w:tblCellSpacing w:w="15" w:type="dxa"/>
                                <w:tblCellMar>
                                  <w:top w:w="15" w:type="dxa"/>
                                  <w:left w:w="15" w:type="dxa"/>
                                  <w:bottom w:w="15" w:type="dxa"/>
                                  <w:right w:w="15" w:type="dxa"/>
                                </w:tblCellMar>
                                <w:tblLook w:val="04A0"/>
                              </w:tblPr>
                              <w:tblGrid>
                                <w:gridCol w:w="1637"/>
                                <w:gridCol w:w="2987"/>
                              </w:tblGrid>
                              <w:tr w:rsidR="000C0BC7" w:rsidRPr="000C0BC7">
                                <w:trPr>
                                  <w:trHeight w:val="450"/>
                                  <w:tblCellSpacing w:w="15"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shd w:val="clear" w:color="auto" w:fill="186D56"/>
                                        <w:lang w:val="es-MX" w:eastAsia="es-MX"/>
                                      </w:rPr>
                                      <w:drawing>
                                        <wp:inline distT="0" distB="0" distL="0" distR="0">
                                          <wp:extent cx="3619500" cy="190500"/>
                                          <wp:effectExtent l="19050" t="0" r="0" b="0"/>
                                          <wp:docPr id="21" name="Imagen 82" descr="http://www.conac.gob.mx/imgenes/exho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nac.gob.mx/imgenes/exhortos.jpg"/>
                                                  <pic:cNvPicPr>
                                                    <a:picLocks noChangeAspect="1" noChangeArrowheads="1"/>
                                                  </pic:cNvPicPr>
                                                </pic:nvPicPr>
                                                <pic:blipFill>
                                                  <a:blip r:embed="rId190"/>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15" w:type="dxa"/>
                                </w:trPr>
                                <w:tc>
                                  <w:tcPr>
                                    <w:tcW w:w="2010"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noProof/>
                                        <w:lang w:val="es-MX" w:eastAsia="es-MX"/>
                                      </w:rPr>
                                      <w:drawing>
                                        <wp:inline distT="0" distB="0" distL="0" distR="0">
                                          <wp:extent cx="952500" cy="1343025"/>
                                          <wp:effectExtent l="19050" t="0" r="0" b="0"/>
                                          <wp:docPr id="27" name="Imagen 83" descr="http://www.conac.gob.mx/imgenes/exhortos_ic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nac.gob.mx/imgenes/exhortos_icono.jpg"/>
                                                  <pic:cNvPicPr>
                                                    <a:picLocks noChangeAspect="1" noChangeArrowheads="1"/>
                                                  </pic:cNvPicPr>
                                                </pic:nvPicPr>
                                                <pic:blipFill>
                                                  <a:blip r:embed="rId191"/>
                                                  <a:srcRect/>
                                                  <a:stretch>
                                                    <a:fillRect/>
                                                  </a:stretch>
                                                </pic:blipFill>
                                                <pic:spPr bwMode="auto">
                                                  <a:xfrm>
                                                    <a:off x="0" y="0"/>
                                                    <a:ext cx="952500" cy="1343025"/>
                                                  </a:xfrm>
                                                  <a:prstGeom prst="rect">
                                                    <a:avLst/>
                                                  </a:prstGeom>
                                                  <a:noFill/>
                                                  <a:ln w="9525">
                                                    <a:noFill/>
                                                    <a:miter lim="800000"/>
                                                    <a:headEnd/>
                                                    <a:tailEnd/>
                                                  </a:ln>
                                                </pic:spPr>
                                              </pic:pic>
                                            </a:graphicData>
                                          </a:graphic>
                                        </wp:inline>
                                      </w:drawing>
                                    </w:r>
                                  </w:p>
                                </w:tc>
                                <w:tc>
                                  <w:tcPr>
                                    <w:tcW w:w="3840" w:type="dxa"/>
                                    <w:vAlign w:val="center"/>
                                    <w:hideMark/>
                                  </w:tcPr>
                                  <w:p w:rsidR="000C0BC7" w:rsidRPr="000C0BC7" w:rsidRDefault="000C0BC7" w:rsidP="000C0BC7">
                                    <w:pPr>
                                      <w:spacing w:before="100" w:beforeAutospacing="1" w:after="100" w:afterAutospacing="1"/>
                                      <w:ind w:left="720"/>
                                      <w:rPr>
                                        <w:rFonts w:ascii="Times New Roman" w:hAnsi="Times New Roman"/>
                                        <w:color w:val="333333"/>
                                        <w:sz w:val="18"/>
                                        <w:szCs w:val="18"/>
                                        <w:lang w:val="es-MX" w:eastAsia="es-MX"/>
                                      </w:rPr>
                                    </w:pPr>
                                    <w:r w:rsidRPr="000C0BC7">
                                      <w:rPr>
                                        <w:rFonts w:ascii="Times New Roman" w:hAnsi="Times New Roman"/>
                                        <w:color w:val="333333"/>
                                        <w:sz w:val="18"/>
                                        <w:szCs w:val="18"/>
                                        <w:lang w:val="es-MX" w:eastAsia="es-MX"/>
                                      </w:rPr>
                                      <w:t> </w:t>
                                    </w:r>
                                  </w:p>
                                  <w:p w:rsidR="000C0BC7" w:rsidRPr="000C0BC7" w:rsidRDefault="000C0BC7" w:rsidP="000C0BC7">
                                    <w:pPr>
                                      <w:ind w:left="720"/>
                                      <w:rPr>
                                        <w:rFonts w:ascii="Times New Roman" w:hAnsi="Times New Roman"/>
                                        <w:lang w:val="es-MX" w:eastAsia="es-MX"/>
                                      </w:rPr>
                                    </w:pPr>
                                    <w:r w:rsidRPr="000C0BC7">
                                      <w:rPr>
                                        <w:rFonts w:ascii="Times New Roman" w:hAnsi="Times New Roman"/>
                                        <w:lang w:val="es-MX" w:eastAsia="es-MX"/>
                                      </w:rPr>
                                      <w:br/>
                                    </w:r>
                                    <w:r w:rsidRPr="000C0BC7">
                                      <w:rPr>
                                        <w:rFonts w:ascii="Verdana" w:hAnsi="Verdana"/>
                                        <w:b/>
                                        <w:bCs/>
                                        <w:color w:val="186D56"/>
                                        <w:sz w:val="17"/>
                                        <w:szCs w:val="17"/>
                                        <w:lang w:val="es-MX" w:eastAsia="es-MX"/>
                                      </w:rPr>
                                      <w:t xml:space="preserve">2011 </w:t>
                                    </w:r>
                                  </w:p>
                                  <w:p w:rsidR="000C0BC7" w:rsidRPr="000C0BC7" w:rsidRDefault="001A5F7E" w:rsidP="000C0BC7">
                                    <w:pPr>
                                      <w:numPr>
                                        <w:ilvl w:val="0"/>
                                        <w:numId w:val="34"/>
                                      </w:numPr>
                                      <w:spacing w:before="100" w:beforeAutospacing="1" w:after="100" w:afterAutospacing="1"/>
                                      <w:rPr>
                                        <w:rFonts w:ascii="Times New Roman" w:hAnsi="Times New Roman"/>
                                        <w:lang w:val="es-MX" w:eastAsia="es-MX"/>
                                      </w:rPr>
                                    </w:pPr>
                                    <w:hyperlink r:id="rId192" w:tgtFrame="_blank" w:history="1">
                                      <w:r w:rsidR="000C0BC7" w:rsidRPr="000C0BC7">
                                        <w:rPr>
                                          <w:rFonts w:ascii="Verdana" w:hAnsi="Verdana"/>
                                          <w:color w:val="186D56"/>
                                          <w:sz w:val="17"/>
                                          <w:szCs w:val="17"/>
                                          <w:lang w:val="es-MX" w:eastAsia="es-MX"/>
                                        </w:rPr>
                                        <w:t>21 de Septiembre</w:t>
                                      </w:r>
                                    </w:hyperlink>
                                  </w:p>
                                  <w:p w:rsidR="000C0BC7" w:rsidRPr="000C0BC7" w:rsidRDefault="001A5F7E" w:rsidP="000C0BC7">
                                    <w:pPr>
                                      <w:numPr>
                                        <w:ilvl w:val="0"/>
                                        <w:numId w:val="34"/>
                                      </w:numPr>
                                      <w:spacing w:before="100" w:beforeAutospacing="1" w:after="100" w:afterAutospacing="1"/>
                                      <w:rPr>
                                        <w:rFonts w:ascii="Times New Roman" w:hAnsi="Times New Roman"/>
                                        <w:lang w:val="es-MX" w:eastAsia="es-MX"/>
                                      </w:rPr>
                                    </w:pPr>
                                    <w:hyperlink r:id="rId193" w:tgtFrame="_blank" w:history="1">
                                      <w:r w:rsidR="000C0BC7" w:rsidRPr="000C0BC7">
                                        <w:rPr>
                                          <w:rFonts w:ascii="Verdana" w:hAnsi="Verdana"/>
                                          <w:color w:val="186D56"/>
                                          <w:sz w:val="17"/>
                                          <w:szCs w:val="17"/>
                                          <w:lang w:val="es-MX" w:eastAsia="es-MX"/>
                                        </w:rPr>
                                        <w:t>26 de julio</w:t>
                                      </w:r>
                                    </w:hyperlink>
                                  </w:p>
                                  <w:p w:rsidR="000C0BC7" w:rsidRPr="000C0BC7" w:rsidRDefault="001A5F7E" w:rsidP="000C0BC7">
                                    <w:pPr>
                                      <w:numPr>
                                        <w:ilvl w:val="0"/>
                                        <w:numId w:val="34"/>
                                      </w:numPr>
                                      <w:spacing w:before="100" w:beforeAutospacing="1" w:after="100" w:afterAutospacing="1"/>
                                      <w:rPr>
                                        <w:rFonts w:ascii="Times New Roman" w:hAnsi="Times New Roman"/>
                                        <w:lang w:val="es-MX" w:eastAsia="es-MX"/>
                                      </w:rPr>
                                    </w:pPr>
                                    <w:hyperlink r:id="rId194" w:tgtFrame="_blank" w:history="1">
                                      <w:r w:rsidR="000C0BC7" w:rsidRPr="000C0BC7">
                                        <w:rPr>
                                          <w:rFonts w:ascii="Verdana" w:hAnsi="Verdana"/>
                                          <w:color w:val="186D56"/>
                                          <w:sz w:val="17"/>
                                          <w:szCs w:val="17"/>
                                          <w:lang w:val="es-MX" w:eastAsia="es-MX"/>
                                        </w:rPr>
                                        <w:t>10 de junio</w:t>
                                      </w:r>
                                    </w:hyperlink>
                                  </w:p>
                                  <w:p w:rsidR="000C0BC7" w:rsidRPr="000C0BC7" w:rsidRDefault="001A5F7E" w:rsidP="000C0BC7">
                                    <w:pPr>
                                      <w:numPr>
                                        <w:ilvl w:val="0"/>
                                        <w:numId w:val="34"/>
                                      </w:numPr>
                                      <w:spacing w:before="100" w:beforeAutospacing="1" w:after="100" w:afterAutospacing="1"/>
                                      <w:rPr>
                                        <w:rFonts w:ascii="Times New Roman" w:hAnsi="Times New Roman"/>
                                        <w:lang w:val="es-MX" w:eastAsia="es-MX"/>
                                      </w:rPr>
                                    </w:pPr>
                                    <w:hyperlink r:id="rId195" w:tgtFrame="_blank" w:history="1">
                                      <w:r w:rsidR="000C0BC7" w:rsidRPr="000C0BC7">
                                        <w:rPr>
                                          <w:rFonts w:ascii="Verdana" w:hAnsi="Verdana"/>
                                          <w:color w:val="186D56"/>
                                          <w:sz w:val="17"/>
                                          <w:szCs w:val="17"/>
                                          <w:lang w:val="es-MX" w:eastAsia="es-MX"/>
                                        </w:rPr>
                                        <w:t>6 de junio</w:t>
                                      </w:r>
                                    </w:hyperlink>
                                  </w:p>
                                  <w:p w:rsidR="000C0BC7" w:rsidRPr="000C0BC7" w:rsidRDefault="000C0BC7" w:rsidP="000C0BC7">
                                    <w:pPr>
                                      <w:spacing w:after="240"/>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lang w:val="es-MX" w:eastAsia="es-MX"/>
                                      </w:rPr>
                                      <w:br/>
                                    </w:r>
                                  </w:p>
                                </w:tc>
                              </w:tr>
                            </w:tbl>
                            <w:p w:rsidR="000C0BC7" w:rsidRPr="000C0BC7" w:rsidRDefault="000C0BC7" w:rsidP="000C0BC7">
                              <w:pPr>
                                <w:rPr>
                                  <w:rFonts w:ascii="Times New Roman" w:hAnsi="Times New Roman"/>
                                  <w:lang w:val="es-MX" w:eastAsia="es-MX"/>
                                </w:rPr>
                              </w:pPr>
                            </w:p>
                          </w:tc>
                          <w:tc>
                            <w:tcPr>
                              <w:tcW w:w="2350" w:type="pct"/>
                              <w:hideMark/>
                            </w:tcPr>
                            <w:tbl>
                              <w:tblPr>
                                <w:tblW w:w="5000" w:type="pct"/>
                                <w:tblCellSpacing w:w="0" w:type="dxa"/>
                                <w:tblCellMar>
                                  <w:top w:w="15" w:type="dxa"/>
                                  <w:left w:w="15" w:type="dxa"/>
                                  <w:bottom w:w="15" w:type="dxa"/>
                                  <w:right w:w="15" w:type="dxa"/>
                                </w:tblCellMar>
                                <w:tblLook w:val="04A0"/>
                              </w:tblPr>
                              <w:tblGrid>
                                <w:gridCol w:w="1186"/>
                                <w:gridCol w:w="3059"/>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lastRenderedPageBreak/>
                                      <w:drawing>
                                        <wp:inline distT="0" distB="0" distL="0" distR="0">
                                          <wp:extent cx="3619500" cy="190500"/>
                                          <wp:effectExtent l="19050" t="0" r="0" b="0"/>
                                          <wp:docPr id="28" name="Imagen 84" descr="http://www.conac.gob.mx/imgenes/images/noti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onac.gob.mx/imgenes/images/noticias.jpg"/>
                                                  <pic:cNvPicPr>
                                                    <a:picLocks noChangeAspect="1" noChangeArrowheads="1"/>
                                                  </pic:cNvPicPr>
                                                </pic:nvPicPr>
                                                <pic:blipFill>
                                                  <a:blip r:embed="rId196"/>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rHeight w:val="276"/>
                                  <w:tblCellSpacing w:w="0" w:type="dxa"/>
                                </w:trPr>
                                <w:tc>
                                  <w:tcPr>
                                    <w:tcW w:w="1605" w:type="dxa"/>
                                    <w:vMerge w:val="restart"/>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noProof/>
                                        <w:lang w:val="es-MX" w:eastAsia="es-MX"/>
                                      </w:rPr>
                                      <w:drawing>
                                        <wp:inline distT="0" distB="0" distL="0" distR="0">
                                          <wp:extent cx="952500" cy="1209675"/>
                                          <wp:effectExtent l="19050" t="0" r="0" b="0"/>
                                          <wp:docPr id="29" name="Imagen 85" descr="http://www.conac.gob.mx/imgenes/notic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onac.gob.mx/imgenes/noticias.gif"/>
                                                  <pic:cNvPicPr>
                                                    <a:picLocks noChangeAspect="1" noChangeArrowheads="1"/>
                                                  </pic:cNvPicPr>
                                                </pic:nvPicPr>
                                                <pic:blipFill>
                                                  <a:blip r:embed="rId197"/>
                                                  <a:srcRect/>
                                                  <a:stretch>
                                                    <a:fillRect/>
                                                  </a:stretch>
                                                </pic:blipFill>
                                                <pic:spPr bwMode="auto">
                                                  <a:xfrm>
                                                    <a:off x="0" y="0"/>
                                                    <a:ext cx="952500" cy="1209675"/>
                                                  </a:xfrm>
                                                  <a:prstGeom prst="rect">
                                                    <a:avLst/>
                                                  </a:prstGeom>
                                                  <a:noFill/>
                                                  <a:ln w="9525">
                                                    <a:noFill/>
                                                    <a:miter lim="800000"/>
                                                    <a:headEnd/>
                                                    <a:tailEnd/>
                                                  </a:ln>
                                                </pic:spPr>
                                              </pic:pic>
                                            </a:graphicData>
                                          </a:graphic>
                                        </wp:inline>
                                      </w:drawing>
                                    </w:r>
                                    <w:r w:rsidRPr="000C0BC7">
                                      <w:rPr>
                                        <w:rFonts w:ascii="Times New Roman" w:hAnsi="Times New Roman"/>
                                        <w:lang w:val="es-MX" w:eastAsia="es-MX"/>
                                      </w:rPr>
                                      <w:br/>
                                      <w:t> </w:t>
                                    </w:r>
                                  </w:p>
                                </w:tc>
                                <w:tc>
                                  <w:tcPr>
                                    <w:tcW w:w="4440" w:type="dxa"/>
                                    <w:vMerge w:val="restart"/>
                                    <w:vAlign w:val="center"/>
                                    <w:hideMark/>
                                  </w:tcPr>
                                  <w:p w:rsidR="000C0BC7" w:rsidRPr="000C0BC7" w:rsidRDefault="000C0BC7" w:rsidP="000C0BC7">
                                    <w:pPr>
                                      <w:rPr>
                                        <w:rFonts w:ascii="Times New Roman" w:hAnsi="Times New Roman"/>
                                        <w:lang w:val="es-MX" w:eastAsia="es-MX"/>
                                      </w:rPr>
                                    </w:pPr>
                                  </w:p>
                                  <w:p w:rsidR="000C0BC7" w:rsidRPr="000C0BC7" w:rsidRDefault="000C0BC7" w:rsidP="000C0BC7">
                                    <w:pPr>
                                      <w:spacing w:before="100" w:beforeAutospacing="1" w:after="100" w:afterAutospacing="1"/>
                                      <w:rPr>
                                        <w:rFonts w:ascii="Verdana" w:hAnsi="Verdana"/>
                                        <w:color w:val="186D56"/>
                                        <w:sz w:val="17"/>
                                        <w:szCs w:val="17"/>
                                        <w:lang w:val="es-MX" w:eastAsia="es-MX"/>
                                      </w:rPr>
                                    </w:pPr>
                                    <w:r w:rsidRPr="000C0BC7">
                                      <w:rPr>
                                        <w:rFonts w:ascii="Verdana" w:hAnsi="Verdana"/>
                                        <w:b/>
                                        <w:bCs/>
                                        <w:color w:val="186D56"/>
                                        <w:sz w:val="17"/>
                                        <w:szCs w:val="17"/>
                                        <w:lang w:val="es-MX" w:eastAsia="es-MX"/>
                                      </w:rPr>
                                      <w:t xml:space="preserve">Con fecha 1 de marzo </w:t>
                                    </w:r>
                                    <w:r w:rsidRPr="000C0BC7">
                                      <w:rPr>
                                        <w:rFonts w:ascii="Verdana" w:hAnsi="Verdana"/>
                                        <w:color w:val="186D56"/>
                                        <w:sz w:val="17"/>
                                        <w:szCs w:val="17"/>
                                        <w:lang w:val="es-MX" w:eastAsia="es-MX"/>
                                      </w:rPr>
                                      <w:t xml:space="preserve">el Lic. José Alfonso Medina y Medina fue designado como Titular de la Unidad de Contabilidad Gubernamental e Informes sobre la Gestión Pública, y </w:t>
                                    </w:r>
                                    <w:r w:rsidRPr="000C0BC7">
                                      <w:rPr>
                                        <w:rFonts w:ascii="Verdana" w:hAnsi="Verdana"/>
                                        <w:b/>
                                        <w:bCs/>
                                        <w:color w:val="186D56"/>
                                        <w:sz w:val="17"/>
                                        <w:szCs w:val="17"/>
                                        <w:lang w:val="es-MX" w:eastAsia="es-MX"/>
                                      </w:rPr>
                                      <w:t>Secretario Técnico del Consejo Nacional de Armonización Contable.</w:t>
                                    </w:r>
                                  </w:p>
                                  <w:p w:rsidR="000C0BC7" w:rsidRPr="000C0BC7" w:rsidRDefault="000C0BC7" w:rsidP="000C0BC7">
                                    <w:pPr>
                                      <w:spacing w:before="100" w:beforeAutospacing="1" w:after="100" w:afterAutospacing="1"/>
                                      <w:rPr>
                                        <w:rFonts w:ascii="Verdana" w:hAnsi="Verdana"/>
                                        <w:color w:val="186D56"/>
                                        <w:sz w:val="17"/>
                                        <w:szCs w:val="17"/>
                                        <w:lang w:val="es-MX" w:eastAsia="es-MX"/>
                                      </w:rPr>
                                    </w:pPr>
                                    <w:r w:rsidRPr="000C0BC7">
                                      <w:rPr>
                                        <w:rFonts w:ascii="Verdana" w:hAnsi="Verdana"/>
                                        <w:b/>
                                        <w:bCs/>
                                        <w:color w:val="186D56"/>
                                        <w:sz w:val="17"/>
                                        <w:szCs w:val="17"/>
                                        <w:lang w:val="es-MX" w:eastAsia="es-MX"/>
                                      </w:rPr>
                                      <w:t>El Presupuesto de Egresos de la Federación 2012</w:t>
                                    </w:r>
                                    <w:r w:rsidRPr="000C0BC7">
                                      <w:rPr>
                                        <w:rFonts w:ascii="Verdana" w:hAnsi="Verdana"/>
                                        <w:color w:val="186D56"/>
                                        <w:sz w:val="17"/>
                                        <w:szCs w:val="17"/>
                                        <w:lang w:val="es-MX" w:eastAsia="es-MX"/>
                                      </w:rPr>
                                      <w:t xml:space="preserve"> establece en su Artículo Séptimo Transitorio que las entidades federativas que al término de 2011 no hayan establecido Consejos de Armonización Contable, en los que se incluyan a los municipios, órganos de fiscalización estatales y colegios de contadores, con el propósito de que coadyuven en el proceso de implementación de los acuerdos aprobados en el Consejo Nacional de Armonización Contable, deberán conformarlos a más tardar el último día hábil de marzo de 2012.</w:t>
                                    </w:r>
                                  </w:p>
                                  <w:p w:rsidR="000C0BC7" w:rsidRPr="000C0BC7" w:rsidRDefault="000C0BC7" w:rsidP="000C0BC7">
                                    <w:pPr>
                                      <w:spacing w:before="100" w:beforeAutospacing="1" w:after="100" w:afterAutospacing="1"/>
                                      <w:rPr>
                                        <w:rFonts w:ascii="Verdana" w:hAnsi="Verdana"/>
                                        <w:color w:val="186D56"/>
                                        <w:sz w:val="17"/>
                                        <w:szCs w:val="17"/>
                                        <w:lang w:val="es-MX" w:eastAsia="es-MX"/>
                                      </w:rPr>
                                    </w:pPr>
                                    <w:r w:rsidRPr="000C0BC7">
                                      <w:rPr>
                                        <w:rFonts w:ascii="Verdana" w:hAnsi="Verdana"/>
                                        <w:b/>
                                        <w:bCs/>
                                        <w:color w:val="186D56"/>
                                        <w:sz w:val="17"/>
                                        <w:szCs w:val="17"/>
                                        <w:lang w:val="es-MX" w:eastAsia="es-MX"/>
                                      </w:rPr>
                                      <w:t>El 13 de diciembre</w:t>
                                    </w:r>
                                    <w:r w:rsidRPr="000C0BC7">
                                      <w:rPr>
                                        <w:rFonts w:ascii="Verdana" w:hAnsi="Verdana"/>
                                        <w:color w:val="186D56"/>
                                        <w:sz w:val="17"/>
                                        <w:szCs w:val="17"/>
                                        <w:lang w:val="es-MX" w:eastAsia="es-MX"/>
                                      </w:rPr>
                                      <w:t xml:space="preserve"> se publicaron en el Diario Oficial de la Federación los Lineamientos para la elaboración del Catálogo de Bienes que permita la interrelación automática con el Clasificador por Objeto del Gasto y la Lista de Cuentas; los Lineamientos dirigidos a asegurar que el Sistema </w:t>
                                    </w:r>
                                    <w:r w:rsidRPr="000C0BC7">
                                      <w:rPr>
                                        <w:rFonts w:ascii="Verdana" w:hAnsi="Verdana"/>
                                        <w:color w:val="186D56"/>
                                        <w:sz w:val="17"/>
                                        <w:szCs w:val="17"/>
                                        <w:lang w:val="es-MX" w:eastAsia="es-MX"/>
                                      </w:rPr>
                                      <w:lastRenderedPageBreak/>
                                      <w:t xml:space="preserve">de Contabilidad Gubernamental facilite el registro y control de los inventarios de los bienes muebles e inmuebles de los entes públicos; las Reglas Específicas del Registro y Valoración del Patrimonio, y los Lineamientos Generales del Sistema de Contabilidad Gubernamental Simplificado para los Municipios con Menos de Veinticinco Mil Habitantes. </w:t>
                                    </w:r>
                                  </w:p>
                                  <w:p w:rsidR="000C0BC7" w:rsidRPr="000C0BC7" w:rsidRDefault="000C0BC7" w:rsidP="000C0BC7">
                                    <w:pPr>
                                      <w:spacing w:after="240"/>
                                      <w:rPr>
                                        <w:rFonts w:ascii="Verdana" w:hAnsi="Verdana"/>
                                        <w:color w:val="186D56"/>
                                        <w:sz w:val="17"/>
                                        <w:szCs w:val="17"/>
                                        <w:lang w:val="es-MX" w:eastAsia="es-MX"/>
                                      </w:rPr>
                                    </w:pPr>
                                    <w:r w:rsidRPr="000C0BC7">
                                      <w:rPr>
                                        <w:rFonts w:ascii="Verdana" w:hAnsi="Verdana"/>
                                        <w:b/>
                                        <w:bCs/>
                                        <w:color w:val="186D56"/>
                                        <w:sz w:val="17"/>
                                        <w:szCs w:val="17"/>
                                        <w:lang w:val="es-MX" w:eastAsia="es-MX"/>
                                      </w:rPr>
                                      <w:t>El 29 de julio de 2011,</w:t>
                                    </w:r>
                                    <w:r w:rsidRPr="000C0BC7">
                                      <w:rPr>
                                        <w:rFonts w:ascii="Verdana" w:hAnsi="Verdana"/>
                                        <w:color w:val="186D56"/>
                                        <w:sz w:val="17"/>
                                        <w:szCs w:val="17"/>
                                        <w:lang w:val="es-MX" w:eastAsia="es-MX"/>
                                      </w:rPr>
                                      <w:t xml:space="preserve"> el Titular de la Unidad de Contabilidad Gubernamental e Informes sobre la gestión pública, de la Secretaría de Hacienda y Crédito Público, emitió los Lineamientos de la “Estrategia de Armonización para la Administración Pública Federal Paraestatal a efecto de dar cumplimiento a la Ley General de Contabilidad Gubernamental”. </w:t>
                                    </w:r>
                                    <w:r w:rsidRPr="000C0BC7">
                                      <w:rPr>
                                        <w:rFonts w:ascii="Verdana" w:hAnsi="Verdana"/>
                                        <w:color w:val="186D56"/>
                                        <w:sz w:val="17"/>
                                        <w:szCs w:val="17"/>
                                        <w:lang w:val="es-MX" w:eastAsia="es-MX"/>
                                      </w:rPr>
                                      <w:br/>
                                    </w:r>
                                    <w:r w:rsidRPr="000C0BC7">
                                      <w:rPr>
                                        <w:rFonts w:ascii="Verdana" w:hAnsi="Verdana"/>
                                        <w:color w:val="186D56"/>
                                        <w:sz w:val="17"/>
                                        <w:szCs w:val="17"/>
                                        <w:lang w:val="es-MX" w:eastAsia="es-MX"/>
                                      </w:rPr>
                                      <w:br/>
                                    </w:r>
                                    <w:r w:rsidRPr="000C0BC7">
                                      <w:rPr>
                                        <w:rFonts w:ascii="Verdana" w:hAnsi="Verdana"/>
                                        <w:b/>
                                        <w:bCs/>
                                        <w:color w:val="186D56"/>
                                        <w:sz w:val="17"/>
                                        <w:szCs w:val="17"/>
                                        <w:lang w:val="es-MX" w:eastAsia="es-MX"/>
                                      </w:rPr>
                                      <w:t xml:space="preserve">El Consejo Nacional de Armonización Contable </w:t>
                                    </w:r>
                                    <w:r w:rsidRPr="000C0BC7">
                                      <w:rPr>
                                        <w:rFonts w:ascii="Verdana" w:hAnsi="Verdana"/>
                                        <w:color w:val="186D56"/>
                                        <w:sz w:val="17"/>
                                        <w:szCs w:val="17"/>
                                        <w:lang w:val="es-MX" w:eastAsia="es-MX"/>
                                      </w:rPr>
                                      <w:t xml:space="preserve">constituyó un grupo de trabajo con la finalidad de conocer el estado de avance de las aplicaciones financieras con que cuentan los entes públicos de las entidades federativas y sus municipios. Para tal efecto, se diseñó un cuestionario junto con su instructivo, mismo que deberá ser </w:t>
                                    </w:r>
                                    <w:proofErr w:type="spellStart"/>
                                    <w:r w:rsidRPr="000C0BC7">
                                      <w:rPr>
                                        <w:rFonts w:ascii="Verdana" w:hAnsi="Verdana"/>
                                        <w:color w:val="186D56"/>
                                        <w:sz w:val="17"/>
                                        <w:szCs w:val="17"/>
                                        <w:lang w:val="es-MX" w:eastAsia="es-MX"/>
                                      </w:rPr>
                                      <w:t>requisitado</w:t>
                                    </w:r>
                                    <w:proofErr w:type="spellEnd"/>
                                    <w:r w:rsidRPr="000C0BC7">
                                      <w:rPr>
                                        <w:rFonts w:ascii="Verdana" w:hAnsi="Verdana"/>
                                        <w:color w:val="186D56"/>
                                        <w:sz w:val="17"/>
                                        <w:szCs w:val="17"/>
                                        <w:lang w:val="es-MX" w:eastAsia="es-MX"/>
                                      </w:rPr>
                                      <w:t xml:space="preserve"> y remitido al CONAC a más tardar el 15 de julio.</w:t>
                                    </w:r>
                                    <w:r w:rsidRPr="000C0BC7">
                                      <w:rPr>
                                        <w:rFonts w:ascii="Verdana" w:hAnsi="Verdana"/>
                                        <w:color w:val="186D56"/>
                                        <w:sz w:val="17"/>
                                        <w:szCs w:val="17"/>
                                        <w:lang w:val="es-MX" w:eastAsia="es-MX"/>
                                      </w:rPr>
                                      <w:br/>
                                      <w:t xml:space="preserve">Dicho cuestionario se encuentra disponible para su descarga en el apartado Documentos Básicos. </w:t>
                                    </w:r>
                                  </w:p>
                                </w:tc>
                              </w:tr>
                              <w:tr w:rsidR="000C0BC7" w:rsidRPr="000C0BC7">
                                <w:trPr>
                                  <w:trHeight w:val="276"/>
                                  <w:tblCellSpacing w:w="0" w:type="dxa"/>
                                </w:trPr>
                                <w:tc>
                                  <w:tcPr>
                                    <w:tcW w:w="0" w:type="auto"/>
                                    <w:vMerge/>
                                    <w:vAlign w:val="center"/>
                                    <w:hideMark/>
                                  </w:tcPr>
                                  <w:p w:rsidR="000C0BC7" w:rsidRPr="000C0BC7" w:rsidRDefault="000C0BC7" w:rsidP="000C0BC7">
                                    <w:pPr>
                                      <w:rPr>
                                        <w:rFonts w:ascii="Times New Roman" w:hAnsi="Times New Roman"/>
                                        <w:lang w:val="es-MX" w:eastAsia="es-MX"/>
                                      </w:rPr>
                                    </w:pPr>
                                  </w:p>
                                </w:tc>
                                <w:tc>
                                  <w:tcPr>
                                    <w:tcW w:w="0" w:type="auto"/>
                                    <w:vMerge/>
                                    <w:vAlign w:val="center"/>
                                    <w:hideMark/>
                                  </w:tcPr>
                                  <w:p w:rsidR="000C0BC7" w:rsidRPr="000C0BC7" w:rsidRDefault="000C0BC7" w:rsidP="000C0BC7">
                                    <w:pPr>
                                      <w:rPr>
                                        <w:rFonts w:ascii="Verdana" w:hAnsi="Verdana"/>
                                        <w:color w:val="186D56"/>
                                        <w:sz w:val="17"/>
                                        <w:szCs w:val="17"/>
                                        <w:lang w:val="es-MX" w:eastAsia="es-MX"/>
                                      </w:rPr>
                                    </w:pPr>
                                  </w:p>
                                </w:tc>
                              </w:tr>
                            </w:tbl>
                            <w:p w:rsidR="000C0BC7" w:rsidRPr="000C0BC7" w:rsidRDefault="000C0BC7" w:rsidP="000C0BC7">
                              <w:pPr>
                                <w:rPr>
                                  <w:rFonts w:ascii="Times New Roman" w:hAnsi="Times New Roman"/>
                                  <w:vanish/>
                                  <w:lang w:val="es-MX" w:eastAsia="es-MX"/>
                                </w:rPr>
                              </w:pPr>
                            </w:p>
                            <w:tbl>
                              <w:tblPr>
                                <w:tblW w:w="5000" w:type="pct"/>
                                <w:tblCellSpacing w:w="0" w:type="dxa"/>
                                <w:tblCellMar>
                                  <w:top w:w="15" w:type="dxa"/>
                                  <w:left w:w="15" w:type="dxa"/>
                                  <w:bottom w:w="15" w:type="dxa"/>
                                  <w:right w:w="15" w:type="dxa"/>
                                </w:tblCellMar>
                                <w:tblLook w:val="04A0"/>
                              </w:tblPr>
                              <w:tblGrid>
                                <w:gridCol w:w="1341"/>
                                <w:gridCol w:w="2904"/>
                              </w:tblGrid>
                              <w:tr w:rsidR="000C0BC7" w:rsidRPr="000C0BC7">
                                <w:trPr>
                                  <w:trHeight w:val="450"/>
                                  <w:tblCellSpacing w:w="0" w:type="dxa"/>
                                </w:trPr>
                                <w:tc>
                                  <w:tcPr>
                                    <w:tcW w:w="0" w:type="auto"/>
                                    <w:gridSpan w:val="2"/>
                                    <w:shd w:val="clear" w:color="auto" w:fill="186D56"/>
                                    <w:vAlign w:val="center"/>
                                    <w:hideMark/>
                                  </w:tcPr>
                                  <w:p w:rsidR="000C0BC7" w:rsidRPr="000C0BC7" w:rsidRDefault="000C0BC7" w:rsidP="000C0BC7">
                                    <w:pPr>
                                      <w:rPr>
                                        <w:rFonts w:ascii="Times New Roman" w:hAnsi="Times New Roman"/>
                                        <w:b/>
                                        <w:bCs/>
                                        <w:color w:val="FFFFFF"/>
                                        <w:sz w:val="20"/>
                                        <w:szCs w:val="20"/>
                                        <w:lang w:val="es-MX" w:eastAsia="es-MX"/>
                                      </w:rPr>
                                    </w:pPr>
                                    <w:r w:rsidRPr="000C0BC7">
                                      <w:rPr>
                                        <w:rFonts w:ascii="Times New Roman" w:hAnsi="Times New Roman"/>
                                        <w:b/>
                                        <w:bCs/>
                                        <w:noProof/>
                                        <w:color w:val="FFFFFF"/>
                                        <w:sz w:val="20"/>
                                        <w:szCs w:val="20"/>
                                        <w:lang w:val="es-MX" w:eastAsia="es-MX"/>
                                      </w:rPr>
                                      <w:drawing>
                                        <wp:inline distT="0" distB="0" distL="0" distR="0">
                                          <wp:extent cx="3619500" cy="190500"/>
                                          <wp:effectExtent l="19050" t="0" r="0" b="0"/>
                                          <wp:docPr id="30" name="Imagen 86" descr="http://www.conac.gob.mx/imgenes/images/normativida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onac.gob.mx/imgenes/images/normatividad%20.jpg"/>
                                                  <pic:cNvPicPr>
                                                    <a:picLocks noChangeAspect="1" noChangeArrowheads="1"/>
                                                  </pic:cNvPicPr>
                                                </pic:nvPicPr>
                                                <pic:blipFill>
                                                  <a:blip r:embed="rId198"/>
                                                  <a:srcRect/>
                                                  <a:stretch>
                                                    <a:fillRect/>
                                                  </a:stretch>
                                                </pic:blipFill>
                                                <pic:spPr bwMode="auto">
                                                  <a:xfrm>
                                                    <a:off x="0" y="0"/>
                                                    <a:ext cx="3619500" cy="190500"/>
                                                  </a:xfrm>
                                                  <a:prstGeom prst="rect">
                                                    <a:avLst/>
                                                  </a:prstGeom>
                                                  <a:noFill/>
                                                  <a:ln w="9525">
                                                    <a:noFill/>
                                                    <a:miter lim="800000"/>
                                                    <a:headEnd/>
                                                    <a:tailEnd/>
                                                  </a:ln>
                                                </pic:spPr>
                                              </pic:pic>
                                            </a:graphicData>
                                          </a:graphic>
                                        </wp:inline>
                                      </w:drawing>
                                    </w:r>
                                  </w:p>
                                </w:tc>
                              </w:tr>
                              <w:tr w:rsidR="000C0BC7" w:rsidRPr="000C0BC7">
                                <w:trPr>
                                  <w:tblCellSpacing w:w="0" w:type="dxa"/>
                                </w:trPr>
                                <w:tc>
                                  <w:tcPr>
                                    <w:tcW w:w="1815" w:type="dxa"/>
                                    <w:vAlign w:val="center"/>
                                    <w:hideMark/>
                                  </w:tcPr>
                                  <w:p w:rsidR="000C0BC7" w:rsidRPr="000C0BC7" w:rsidRDefault="000C0BC7" w:rsidP="000C0BC7">
                                    <w:pPr>
                                      <w:jc w:val="center"/>
                                      <w:rPr>
                                        <w:rFonts w:ascii="Times New Roman" w:hAnsi="Times New Roman"/>
                                        <w:lang w:val="es-MX" w:eastAsia="es-MX"/>
                                      </w:rPr>
                                    </w:pPr>
                                    <w:r w:rsidRPr="000C0BC7">
                                      <w:rPr>
                                        <w:rFonts w:ascii="Times New Roman" w:hAnsi="Times New Roman"/>
                                        <w:noProof/>
                                        <w:lang w:val="es-MX" w:eastAsia="es-MX"/>
                                      </w:rPr>
                                      <w:drawing>
                                        <wp:inline distT="0" distB="0" distL="0" distR="0">
                                          <wp:extent cx="1104900" cy="742950"/>
                                          <wp:effectExtent l="19050" t="0" r="0" b="0"/>
                                          <wp:docPr id="31" name="Imagen 87" descr="http://www.conac.gob.mx/imgenes/nor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onac.gob.mx/imgenes/norma.gif"/>
                                                  <pic:cNvPicPr>
                                                    <a:picLocks noChangeAspect="1" noChangeArrowheads="1"/>
                                                  </pic:cNvPicPr>
                                                </pic:nvPicPr>
                                                <pic:blipFill>
                                                  <a:blip r:embed="rId199"/>
                                                  <a:srcRect/>
                                                  <a:stretch>
                                                    <a:fillRect/>
                                                  </a:stretch>
                                                </pic:blipFill>
                                                <pic:spPr bwMode="auto">
                                                  <a:xfrm>
                                                    <a:off x="0" y="0"/>
                                                    <a:ext cx="1104900" cy="742950"/>
                                                  </a:xfrm>
                                                  <a:prstGeom prst="rect">
                                                    <a:avLst/>
                                                  </a:prstGeom>
                                                  <a:noFill/>
                                                  <a:ln w="9525">
                                                    <a:noFill/>
                                                    <a:miter lim="800000"/>
                                                    <a:headEnd/>
                                                    <a:tailEnd/>
                                                  </a:ln>
                                                </pic:spPr>
                                              </pic:pic>
                                            </a:graphicData>
                                          </a:graphic>
                                        </wp:inline>
                                      </w:drawing>
                                    </w:r>
                                  </w:p>
                                </w:tc>
                                <w:tc>
                                  <w:tcPr>
                                    <w:tcW w:w="3975" w:type="dxa"/>
                                    <w:vAlign w:val="center"/>
                                    <w:hideMark/>
                                  </w:tcPr>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0" w:tgtFrame="_blank" w:history="1">
                                      <w:r w:rsidR="000C0BC7" w:rsidRPr="000C0BC7">
                                        <w:rPr>
                                          <w:rFonts w:ascii="Verdana" w:hAnsi="Verdana"/>
                                          <w:color w:val="186D56"/>
                                          <w:sz w:val="17"/>
                                          <w:szCs w:val="17"/>
                                          <w:lang w:val="es-MX" w:eastAsia="es-MX"/>
                                        </w:rPr>
                                        <w:t>Marco Conceptual de Contabilidad Gubernamental</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1" w:tgtFrame="_blank" w:history="1">
                                      <w:r w:rsidR="000C0BC7" w:rsidRPr="000C0BC7">
                                        <w:rPr>
                                          <w:rFonts w:ascii="Verdana" w:hAnsi="Verdana"/>
                                          <w:color w:val="186D56"/>
                                          <w:sz w:val="17"/>
                                          <w:szCs w:val="17"/>
                                          <w:lang w:val="es-MX" w:eastAsia="es-MX"/>
                                        </w:rPr>
                                        <w:t>Postulados Básicos de Contabilidad Gubernamental</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2" w:tgtFrame="_blank" w:history="1">
                                      <w:r w:rsidR="000C0BC7" w:rsidRPr="000C0BC7">
                                        <w:rPr>
                                          <w:rFonts w:ascii="Verdana" w:hAnsi="Verdana"/>
                                          <w:color w:val="186D56"/>
                                          <w:sz w:val="17"/>
                                          <w:szCs w:val="17"/>
                                          <w:lang w:val="es-MX" w:eastAsia="es-MX"/>
                                        </w:rPr>
                                        <w:t xml:space="preserve">Normas y Metodología para la Determinación de los Momentos Contables de los Egresos </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3" w:tgtFrame="_blank" w:history="1">
                                      <w:r w:rsidR="000C0BC7" w:rsidRPr="000C0BC7">
                                        <w:rPr>
                                          <w:rFonts w:ascii="Verdana" w:hAnsi="Verdana"/>
                                          <w:color w:val="186D56"/>
                                          <w:sz w:val="17"/>
                                          <w:szCs w:val="17"/>
                                          <w:lang w:val="es-MX" w:eastAsia="es-MX"/>
                                        </w:rPr>
                                        <w:t>Clasificador por Objeto del Gasto</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4" w:tgtFrame="_blank" w:history="1">
                                      <w:r w:rsidR="000C0BC7" w:rsidRPr="000C0BC7">
                                        <w:rPr>
                                          <w:rFonts w:ascii="Verdana" w:hAnsi="Verdana"/>
                                          <w:color w:val="186D56"/>
                                          <w:sz w:val="17"/>
                                          <w:szCs w:val="17"/>
                                          <w:lang w:val="es-MX" w:eastAsia="es-MX"/>
                                        </w:rPr>
                                        <w:t>Clasificador por Rubros de Ingresos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5" w:tgtFrame="_blank" w:history="1">
                                      <w:r w:rsidR="000C0BC7" w:rsidRPr="000C0BC7">
                                        <w:rPr>
                                          <w:rFonts w:ascii="Verdana" w:hAnsi="Verdana"/>
                                          <w:color w:val="186D56"/>
                                          <w:sz w:val="17"/>
                                          <w:szCs w:val="17"/>
                                          <w:lang w:val="es-MX" w:eastAsia="es-MX"/>
                                        </w:rPr>
                                        <w:t>Plan de Cuentas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6" w:tgtFrame="_blank" w:history="1">
                                      <w:r w:rsidR="000C0BC7" w:rsidRPr="000C0BC7">
                                        <w:rPr>
                                          <w:rFonts w:ascii="Verdana" w:hAnsi="Verdana"/>
                                          <w:color w:val="186D56"/>
                                          <w:sz w:val="17"/>
                                          <w:szCs w:val="17"/>
                                          <w:lang w:val="es-MX" w:eastAsia="es-MX"/>
                                        </w:rPr>
                                        <w:t>Normas y Metodología para la Determinación de los Momentos Contables de los Ingresos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7" w:tgtFrame="_blank" w:history="1">
                                      <w:r w:rsidR="000C0BC7" w:rsidRPr="000C0BC7">
                                        <w:rPr>
                                          <w:rFonts w:ascii="Verdana" w:hAnsi="Verdana"/>
                                          <w:color w:val="186D56"/>
                                          <w:sz w:val="17"/>
                                          <w:szCs w:val="17"/>
                                          <w:lang w:val="es-MX" w:eastAsia="es-MX"/>
                                        </w:rPr>
                                        <w:t>Normas y Metodología para la Emisión de Información Financiera y Estructura de los Estados Financieros</w:t>
                                      </w:r>
                                      <w:r w:rsidR="000C0BC7" w:rsidRPr="000C0BC7">
                                        <w:rPr>
                                          <w:rFonts w:ascii="Verdana" w:hAnsi="Verdana"/>
                                          <w:color w:val="186D56"/>
                                          <w:sz w:val="17"/>
                                          <w:szCs w:val="17"/>
                                          <w:lang w:val="es-MX" w:eastAsia="es-MX"/>
                                        </w:rPr>
                                        <w:br/>
                                        <w:t>Básicos del Ente Público y Características de sus Notas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8" w:tgtFrame="_blank" w:history="1">
                                      <w:r w:rsidR="000C0BC7" w:rsidRPr="000C0BC7">
                                        <w:rPr>
                                          <w:rFonts w:ascii="Verdana" w:hAnsi="Verdana"/>
                                          <w:color w:val="186D56"/>
                                          <w:sz w:val="17"/>
                                          <w:szCs w:val="17"/>
                                          <w:lang w:val="es-MX" w:eastAsia="es-MX"/>
                                        </w:rPr>
                                        <w:t>Clasificador por Objeto del Gasto (Capitulo, Concepto y Partida Genérica)</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09" w:tgtFrame="_blank" w:history="1">
                                      <w:r w:rsidR="000C0BC7" w:rsidRPr="000C0BC7">
                                        <w:rPr>
                                          <w:rFonts w:ascii="Verdana" w:hAnsi="Verdana"/>
                                          <w:color w:val="186D56"/>
                                          <w:sz w:val="17"/>
                                          <w:szCs w:val="17"/>
                                          <w:lang w:val="es-MX" w:eastAsia="es-MX"/>
                                        </w:rPr>
                                        <w:t>Clasificador por Tipo de Gasto</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10" w:tgtFrame="_blank" w:history="1">
                                      <w:r w:rsidR="000C0BC7" w:rsidRPr="000C0BC7">
                                        <w:rPr>
                                          <w:rFonts w:ascii="Verdana" w:hAnsi="Verdana"/>
                                          <w:color w:val="186D56"/>
                                          <w:sz w:val="17"/>
                                          <w:szCs w:val="17"/>
                                          <w:lang w:val="es-MX" w:eastAsia="es-MX"/>
                                        </w:rPr>
                                        <w:t>Clasificación Funcional del Gasto</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11" w:tgtFrame="_blank" w:history="1">
                                      <w:r w:rsidR="000C0BC7" w:rsidRPr="000C0BC7">
                                        <w:rPr>
                                          <w:rFonts w:ascii="Verdana" w:hAnsi="Verdana"/>
                                          <w:color w:val="186D56"/>
                                          <w:sz w:val="17"/>
                                          <w:szCs w:val="17"/>
                                          <w:lang w:val="es-MX" w:eastAsia="es-MX"/>
                                        </w:rPr>
                                        <w:t>Adecuaciones al Clasificador por Objeto del Gasto</w:t>
                                      </w:r>
                                    </w:hyperlink>
                                  </w:p>
                                  <w:p w:rsidR="000C0BC7" w:rsidRPr="000C0BC7" w:rsidRDefault="000C0BC7" w:rsidP="000C0BC7">
                                    <w:pPr>
                                      <w:numPr>
                                        <w:ilvl w:val="0"/>
                                        <w:numId w:val="35"/>
                                      </w:numPr>
                                      <w:spacing w:before="100" w:beforeAutospacing="1" w:after="100" w:afterAutospacing="1"/>
                                      <w:rPr>
                                        <w:rFonts w:ascii="Times New Roman" w:hAnsi="Times New Roman"/>
                                        <w:lang w:val="es-MX" w:eastAsia="es-MX"/>
                                      </w:rPr>
                                    </w:pPr>
                                    <w:r w:rsidRPr="000C0BC7">
                                      <w:rPr>
                                        <w:rFonts w:ascii="Times New Roman" w:hAnsi="Times New Roman"/>
                                        <w:lang w:val="es-MX" w:eastAsia="es-MX"/>
                                      </w:rPr>
                                      <w:t xml:space="preserve">Manual de Contabilidad </w:t>
                                    </w:r>
                                    <w:r w:rsidRPr="000C0BC7">
                                      <w:rPr>
                                        <w:rFonts w:ascii="Times New Roman" w:hAnsi="Times New Roman"/>
                                        <w:lang w:val="es-MX" w:eastAsia="es-MX"/>
                                      </w:rPr>
                                      <w:br/>
                                      <w:t>Gubernamenta</w:t>
                                    </w:r>
                                    <w:r w:rsidRPr="000C0BC7">
                                      <w:rPr>
                                        <w:rFonts w:ascii="Verdana" w:hAnsi="Verdana"/>
                                        <w:color w:val="186D56"/>
                                        <w:sz w:val="17"/>
                                        <w:szCs w:val="17"/>
                                        <w:lang w:val="es-MX" w:eastAsia="es-MX"/>
                                      </w:rPr>
                                      <w:t>l</w:t>
                                    </w:r>
                                    <w:r w:rsidRPr="000C0BC7">
                                      <w:rPr>
                                        <w:rFonts w:ascii="Times New Roman" w:hAnsi="Times New Roman"/>
                                        <w:lang w:val="es-MX" w:eastAsia="es-MX"/>
                                      </w:rPr>
                                      <w:br/>
                                    </w:r>
                                    <w:hyperlink r:id="rId212" w:tgtFrame="_blank" w:history="1">
                                      <w:r w:rsidRPr="000C0BC7">
                                        <w:rPr>
                                          <w:rFonts w:ascii="Verdana" w:hAnsi="Verdana"/>
                                          <w:color w:val="186D56"/>
                                          <w:sz w:val="17"/>
                                          <w:szCs w:val="17"/>
                                          <w:lang w:val="es-MX" w:eastAsia="es-MX"/>
                                        </w:rPr>
                                        <w:t>1 Acuerdo</w:t>
                                      </w:r>
                                    </w:hyperlink>
                                    <w:r w:rsidRPr="000C0BC7">
                                      <w:rPr>
                                        <w:rFonts w:ascii="Times New Roman" w:hAnsi="Times New Roman"/>
                                        <w:lang w:val="es-MX" w:eastAsia="es-MX"/>
                                      </w:rPr>
                                      <w:br/>
                                    </w:r>
                                    <w:hyperlink r:id="rId213" w:tgtFrame="_blank" w:history="1">
                                      <w:r w:rsidRPr="000C0BC7">
                                        <w:rPr>
                                          <w:rFonts w:ascii="Verdana" w:hAnsi="Verdana"/>
                                          <w:color w:val="186D56"/>
                                          <w:sz w:val="17"/>
                                          <w:szCs w:val="17"/>
                                          <w:lang w:val="es-MX" w:eastAsia="es-MX"/>
                                        </w:rPr>
                                        <w:t>2 Presentación</w:t>
                                      </w:r>
                                    </w:hyperlink>
                                    <w:r w:rsidRPr="000C0BC7">
                                      <w:rPr>
                                        <w:rFonts w:ascii="Times New Roman" w:hAnsi="Times New Roman"/>
                                        <w:lang w:val="es-MX" w:eastAsia="es-MX"/>
                                      </w:rPr>
                                      <w:br/>
                                    </w:r>
                                    <w:hyperlink r:id="rId214" w:tgtFrame="_blank" w:history="1">
                                      <w:r w:rsidRPr="000C0BC7">
                                        <w:rPr>
                                          <w:rFonts w:ascii="Verdana" w:hAnsi="Verdana"/>
                                          <w:color w:val="186D56"/>
                                          <w:sz w:val="17"/>
                                          <w:szCs w:val="17"/>
                                          <w:lang w:val="es-MX" w:eastAsia="es-MX"/>
                                        </w:rPr>
                                        <w:t xml:space="preserve">I </w:t>
                                      </w:r>
                                      <w:proofErr w:type="spellStart"/>
                                      <w:r w:rsidRPr="000C0BC7">
                                        <w:rPr>
                                          <w:rFonts w:ascii="Verdana" w:hAnsi="Verdana"/>
                                          <w:color w:val="186D56"/>
                                          <w:sz w:val="17"/>
                                          <w:szCs w:val="17"/>
                                          <w:lang w:val="es-MX" w:eastAsia="es-MX"/>
                                        </w:rPr>
                                        <w:t>Intro</w:t>
                                      </w:r>
                                      <w:proofErr w:type="spellEnd"/>
                                      <w:r w:rsidRPr="000C0BC7">
                                        <w:rPr>
                                          <w:rFonts w:ascii="Verdana" w:hAnsi="Verdana"/>
                                          <w:color w:val="186D56"/>
                                          <w:sz w:val="17"/>
                                          <w:szCs w:val="17"/>
                                          <w:lang w:val="es-MX" w:eastAsia="es-MX"/>
                                        </w:rPr>
                                        <w:t xml:space="preserve"> </w:t>
                                      </w:r>
                                      <w:proofErr w:type="spellStart"/>
                                      <w:r w:rsidRPr="000C0BC7">
                                        <w:rPr>
                                          <w:rFonts w:ascii="Verdana" w:hAnsi="Verdana"/>
                                          <w:color w:val="186D56"/>
                                          <w:sz w:val="17"/>
                                          <w:szCs w:val="17"/>
                                          <w:lang w:val="es-MX" w:eastAsia="es-MX"/>
                                        </w:rPr>
                                        <w:t>Cap</w:t>
                                      </w:r>
                                      <w:proofErr w:type="spellEnd"/>
                                      <w:r w:rsidRPr="000C0BC7">
                                        <w:rPr>
                                          <w:rFonts w:ascii="Verdana" w:hAnsi="Verdana"/>
                                          <w:color w:val="186D56"/>
                                          <w:sz w:val="17"/>
                                          <w:szCs w:val="17"/>
                                          <w:lang w:val="es-MX" w:eastAsia="es-MX"/>
                                        </w:rPr>
                                        <w:t xml:space="preserve"> I</w:t>
                                      </w:r>
                                    </w:hyperlink>
                                    <w:r w:rsidRPr="000C0BC7">
                                      <w:rPr>
                                        <w:rFonts w:ascii="Times New Roman" w:hAnsi="Times New Roman"/>
                                        <w:lang w:val="es-MX" w:eastAsia="es-MX"/>
                                      </w:rPr>
                                      <w:br/>
                                    </w:r>
                                    <w:hyperlink r:id="rId215" w:tgtFrame="_blank" w:history="1">
                                      <w:r w:rsidRPr="000C0BC7">
                                        <w:rPr>
                                          <w:rFonts w:ascii="Verdana" w:hAnsi="Verdana"/>
                                          <w:color w:val="186D56"/>
                                          <w:sz w:val="17"/>
                                          <w:szCs w:val="17"/>
                                          <w:lang w:val="es-MX" w:eastAsia="es-MX"/>
                                        </w:rPr>
                                        <w:t xml:space="preserve">II Fundamentos </w:t>
                                      </w:r>
                                      <w:proofErr w:type="spellStart"/>
                                      <w:r w:rsidRPr="000C0BC7">
                                        <w:rPr>
                                          <w:rFonts w:ascii="Verdana" w:hAnsi="Verdana"/>
                                          <w:color w:val="186D56"/>
                                          <w:sz w:val="17"/>
                                          <w:szCs w:val="17"/>
                                          <w:lang w:val="es-MX" w:eastAsia="es-MX"/>
                                        </w:rPr>
                                        <w:t>Metodolgicos</w:t>
                                      </w:r>
                                      <w:proofErr w:type="spellEnd"/>
                                      <w:r w:rsidRPr="000C0BC7">
                                        <w:rPr>
                                          <w:rFonts w:ascii="Verdana" w:hAnsi="Verdana"/>
                                          <w:color w:val="186D56"/>
                                          <w:sz w:val="17"/>
                                          <w:szCs w:val="17"/>
                                          <w:lang w:val="es-MX" w:eastAsia="es-MX"/>
                                        </w:rPr>
                                        <w:br/>
                                      </w:r>
                                    </w:hyperlink>
                                    <w:hyperlink r:id="rId216" w:tgtFrame="_blank" w:history="1">
                                      <w:r w:rsidRPr="000C0BC7">
                                        <w:rPr>
                                          <w:rFonts w:ascii="Verdana" w:hAnsi="Verdana"/>
                                          <w:color w:val="186D56"/>
                                          <w:sz w:val="17"/>
                                          <w:szCs w:val="17"/>
                                          <w:lang w:val="es-MX" w:eastAsia="es-MX"/>
                                        </w:rPr>
                                        <w:t>III Plan de Cuentas</w:t>
                                      </w:r>
                                    </w:hyperlink>
                                    <w:r w:rsidRPr="000C0BC7">
                                      <w:rPr>
                                        <w:rFonts w:ascii="Times New Roman" w:hAnsi="Times New Roman"/>
                                        <w:lang w:val="es-MX" w:eastAsia="es-MX"/>
                                      </w:rPr>
                                      <w:br/>
                                    </w:r>
                                    <w:hyperlink r:id="rId217" w:tgtFrame="_blank" w:history="1">
                                      <w:r w:rsidRPr="000C0BC7">
                                        <w:rPr>
                                          <w:rFonts w:ascii="Verdana" w:hAnsi="Verdana"/>
                                          <w:color w:val="186D56"/>
                                          <w:sz w:val="17"/>
                                          <w:szCs w:val="17"/>
                                          <w:lang w:val="es-MX" w:eastAsia="es-MX"/>
                                        </w:rPr>
                                        <w:t>IV Instructivos</w:t>
                                      </w:r>
                                    </w:hyperlink>
                                    <w:r w:rsidRPr="000C0BC7">
                                      <w:rPr>
                                        <w:rFonts w:ascii="Times New Roman" w:hAnsi="Times New Roman"/>
                                        <w:lang w:val="es-MX" w:eastAsia="es-MX"/>
                                      </w:rPr>
                                      <w:br/>
                                    </w:r>
                                    <w:hyperlink r:id="rId218" w:tgtFrame="_blank" w:history="1">
                                      <w:r w:rsidRPr="000C0BC7">
                                        <w:rPr>
                                          <w:rFonts w:ascii="Verdana" w:hAnsi="Verdana"/>
                                          <w:color w:val="186D56"/>
                                          <w:sz w:val="17"/>
                                          <w:szCs w:val="17"/>
                                          <w:lang w:val="es-MX" w:eastAsia="es-MX"/>
                                        </w:rPr>
                                        <w:t>V Modelo de Asientos</w:t>
                                      </w:r>
                                    </w:hyperlink>
                                    <w:r w:rsidRPr="000C0BC7">
                                      <w:rPr>
                                        <w:rFonts w:ascii="Times New Roman" w:hAnsi="Times New Roman"/>
                                        <w:lang w:val="es-MX" w:eastAsia="es-MX"/>
                                      </w:rPr>
                                      <w:br/>
                                    </w:r>
                                    <w:hyperlink r:id="rId219" w:tgtFrame="_blank" w:history="1">
                                      <w:r w:rsidRPr="000C0BC7">
                                        <w:rPr>
                                          <w:rFonts w:ascii="Verdana" w:hAnsi="Verdana"/>
                                          <w:color w:val="186D56"/>
                                          <w:sz w:val="17"/>
                                          <w:szCs w:val="17"/>
                                          <w:lang w:val="es-MX" w:eastAsia="es-MX"/>
                                        </w:rPr>
                                        <w:t xml:space="preserve">VI </w:t>
                                      </w:r>
                                      <w:proofErr w:type="spellStart"/>
                                      <w:r w:rsidRPr="000C0BC7">
                                        <w:rPr>
                                          <w:rFonts w:ascii="Verdana" w:hAnsi="Verdana"/>
                                          <w:color w:val="186D56"/>
                                          <w:sz w:val="17"/>
                                          <w:szCs w:val="17"/>
                                          <w:lang w:val="es-MX" w:eastAsia="es-MX"/>
                                        </w:rPr>
                                        <w:t>Guias</w:t>
                                      </w:r>
                                      <w:proofErr w:type="spellEnd"/>
                                    </w:hyperlink>
                                    <w:r w:rsidRPr="000C0BC7">
                                      <w:rPr>
                                        <w:rFonts w:ascii="Times New Roman" w:hAnsi="Times New Roman"/>
                                        <w:lang w:val="es-MX" w:eastAsia="es-MX"/>
                                      </w:rPr>
                                      <w:br/>
                                    </w:r>
                                    <w:hyperlink r:id="rId220" w:tgtFrame="_blank" w:history="1">
                                      <w:r w:rsidRPr="000C0BC7">
                                        <w:rPr>
                                          <w:rFonts w:ascii="Verdana" w:hAnsi="Verdana"/>
                                          <w:color w:val="186D56"/>
                                          <w:sz w:val="17"/>
                                          <w:szCs w:val="17"/>
                                          <w:lang w:val="es-MX" w:eastAsia="es-MX"/>
                                        </w:rPr>
                                        <w:t>VII Estados Financieros</w:t>
                                      </w:r>
                                    </w:hyperlink>
                                    <w:r w:rsidRPr="000C0BC7">
                                      <w:rPr>
                                        <w:rFonts w:ascii="Times New Roman" w:hAnsi="Times New Roman"/>
                                        <w:lang w:val="es-MX" w:eastAsia="es-MX"/>
                                      </w:rPr>
                                      <w:t>.</w:t>
                                    </w:r>
                                    <w:r w:rsidRPr="000C0BC7">
                                      <w:rPr>
                                        <w:rFonts w:ascii="Times New Roman" w:hAnsi="Times New Roman"/>
                                        <w:lang w:val="es-MX" w:eastAsia="es-MX"/>
                                      </w:rPr>
                                      <w:br/>
                                    </w:r>
                                    <w:hyperlink r:id="rId221" w:tgtFrame="_blank" w:history="1">
                                      <w:r w:rsidRPr="000C0BC7">
                                        <w:rPr>
                                          <w:rFonts w:ascii="Verdana" w:hAnsi="Verdana"/>
                                          <w:color w:val="186D56"/>
                                          <w:sz w:val="17"/>
                                          <w:szCs w:val="17"/>
                                          <w:lang w:val="es-MX" w:eastAsia="es-MX"/>
                                        </w:rPr>
                                        <w:t>VIII Anexo Matriz de Conversión.</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2" w:tgtFrame="_blank" w:history="1">
                                      <w:r w:rsidR="000C0BC7" w:rsidRPr="000C0BC7">
                                        <w:rPr>
                                          <w:rFonts w:ascii="Verdana" w:hAnsi="Verdana"/>
                                          <w:color w:val="186D56"/>
                                          <w:sz w:val="17"/>
                                          <w:szCs w:val="17"/>
                                          <w:lang w:val="es-MX" w:eastAsia="es-MX"/>
                                        </w:rPr>
                                        <w:t>Principales Reglas de Registro y Valoración del Patrimonio (Elementos Generales)</w:t>
                                      </w:r>
                                    </w:hyperlink>
                                    <w:r w:rsidR="000C0BC7" w:rsidRPr="000C0BC7">
                                      <w:rPr>
                                        <w:rFonts w:ascii="Times New Roman" w:hAnsi="Times New Roman"/>
                                        <w:lang w:val="es-MX" w:eastAsia="es-MX"/>
                                      </w:rPr>
                                      <w:t> </w:t>
                                    </w:r>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3" w:tgtFrame="_blank" w:history="1">
                                      <w:r w:rsidR="000C0BC7" w:rsidRPr="000C0BC7">
                                        <w:rPr>
                                          <w:rFonts w:ascii="Verdana" w:hAnsi="Verdana"/>
                                          <w:color w:val="186D56"/>
                                          <w:sz w:val="17"/>
                                          <w:szCs w:val="17"/>
                                          <w:lang w:val="es-MX" w:eastAsia="es-MX"/>
                                        </w:rPr>
                                        <w:t xml:space="preserve"> Clasificación Funcional del Gasto (Finalidad, Función y </w:t>
                                      </w:r>
                                      <w:proofErr w:type="spellStart"/>
                                      <w:r w:rsidR="000C0BC7" w:rsidRPr="000C0BC7">
                                        <w:rPr>
                                          <w:rFonts w:ascii="Verdana" w:hAnsi="Verdana"/>
                                          <w:color w:val="186D56"/>
                                          <w:sz w:val="17"/>
                                          <w:szCs w:val="17"/>
                                          <w:lang w:val="es-MX" w:eastAsia="es-MX"/>
                                        </w:rPr>
                                        <w:t>Subfunción</w:t>
                                      </w:r>
                                      <w:proofErr w:type="spellEnd"/>
                                      <w:r w:rsidR="000C0BC7" w:rsidRPr="000C0BC7">
                                        <w:rPr>
                                          <w:rFonts w:ascii="Verdana" w:hAnsi="Verdana"/>
                                          <w:color w:val="186D56"/>
                                          <w:sz w:val="17"/>
                                          <w:szCs w:val="17"/>
                                          <w:lang w:val="es-MX" w:eastAsia="es-MX"/>
                                        </w:rPr>
                                        <w:t>)</w:t>
                                      </w:r>
                                    </w:hyperlink>
                                    <w:r w:rsidR="000C0BC7" w:rsidRPr="000C0BC7">
                                      <w:rPr>
                                        <w:rFonts w:ascii="Times New Roman" w:hAnsi="Times New Roman"/>
                                        <w:lang w:val="es-MX" w:eastAsia="es-MX"/>
                                      </w:rPr>
                                      <w:t xml:space="preserve"> </w:t>
                                    </w:r>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4" w:tgtFrame="_blank" w:history="1">
                                      <w:r w:rsidR="000C0BC7" w:rsidRPr="000C0BC7">
                                        <w:rPr>
                                          <w:rFonts w:ascii="Verdana" w:hAnsi="Verdana"/>
                                          <w:color w:val="186D56"/>
                                          <w:sz w:val="17"/>
                                          <w:szCs w:val="17"/>
                                          <w:lang w:val="es-MX" w:eastAsia="es-MX"/>
                                        </w:rPr>
                                        <w:t xml:space="preserve">Marco Metodológico Sobre la Forma y Términos en que Deberá Orientarse el Desarrollo del Análisis de los Componentes de las Finanzas Públicas con Relación a los Objetivos y Prioridades que, en la Materia, Establezca la Planeación del </w:t>
                                      </w:r>
                                      <w:r w:rsidR="000C0BC7" w:rsidRPr="000C0BC7">
                                        <w:rPr>
                                          <w:rFonts w:ascii="Verdana" w:hAnsi="Verdana"/>
                                          <w:color w:val="186D56"/>
                                          <w:sz w:val="17"/>
                                          <w:szCs w:val="17"/>
                                          <w:lang w:val="es-MX" w:eastAsia="es-MX"/>
                                        </w:rPr>
                                        <w:lastRenderedPageBreak/>
                                        <w:t xml:space="preserve">Desarrollo, para su Integración en la Cuenta Pública </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5" w:tgtFrame="_blank" w:history="1">
                                      <w:r w:rsidR="000C0BC7" w:rsidRPr="000C0BC7">
                                        <w:rPr>
                                          <w:rFonts w:ascii="Verdana" w:hAnsi="Verdana"/>
                                          <w:color w:val="186D56"/>
                                          <w:sz w:val="17"/>
                                          <w:szCs w:val="17"/>
                                          <w:lang w:val="es-MX" w:eastAsia="es-MX"/>
                                        </w:rPr>
                                        <w:t>Clasificación Administrativa</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6" w:tgtFrame="_blank" w:history="1">
                                      <w:r w:rsidR="000C0BC7" w:rsidRPr="000C0BC7">
                                        <w:rPr>
                                          <w:rFonts w:ascii="Verdana" w:hAnsi="Verdana"/>
                                          <w:color w:val="186D56"/>
                                          <w:sz w:val="17"/>
                                          <w:szCs w:val="17"/>
                                          <w:lang w:val="es-MX" w:eastAsia="es-MX"/>
                                        </w:rPr>
                                        <w:t xml:space="preserve">Clasificación Económica de los Ingresos, de los Gastos y del Financiamiento de los Entes Públicos </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7" w:tgtFrame="_blank" w:history="1">
                                      <w:r w:rsidR="000C0BC7" w:rsidRPr="000C0BC7">
                                        <w:rPr>
                                          <w:rFonts w:ascii="Verdana" w:hAnsi="Verdana"/>
                                          <w:color w:val="186D56"/>
                                          <w:sz w:val="17"/>
                                          <w:szCs w:val="17"/>
                                          <w:lang w:val="es-MX" w:eastAsia="es-MX"/>
                                        </w:rPr>
                                        <w:t>Lineamientos Mínimos relativos al Diseño e Integración del Registro en los Libros Diario, Mayor e Inventarios y Balances (Registro Electrónico)</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8" w:tgtFrame="_blank" w:history="1">
                                      <w:r w:rsidR="000C0BC7" w:rsidRPr="000C0BC7">
                                        <w:rPr>
                                          <w:rFonts w:ascii="Verdana" w:hAnsi="Verdana"/>
                                          <w:color w:val="186D56"/>
                                          <w:sz w:val="17"/>
                                          <w:szCs w:val="17"/>
                                          <w:lang w:val="es-MX" w:eastAsia="es-MX"/>
                                        </w:rPr>
                                        <w:t>Lineamientos para la elaboración del Catálogo de Bienes que permita la interrelación automática con el Clasificador por Objeto del Gasto y la Lista de Cuentas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29" w:tgtFrame="_blank" w:history="1">
                                      <w:r w:rsidR="000C0BC7" w:rsidRPr="000C0BC7">
                                        <w:rPr>
                                          <w:rFonts w:ascii="Verdana" w:hAnsi="Verdana"/>
                                          <w:color w:val="186D56"/>
                                          <w:sz w:val="17"/>
                                          <w:szCs w:val="17"/>
                                          <w:lang w:val="es-MX" w:eastAsia="es-MX"/>
                                        </w:rPr>
                                        <w:t xml:space="preserve">Lineamientos dirigidos a asegurar que el Sistema de Contabilidad Gubernamental facilite el Registro y Control de los Inventarios de los Bienes Muebles e Inmuebles de los Entes Públicos </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30" w:tgtFrame="_blank" w:history="1">
                                      <w:r w:rsidR="000C0BC7" w:rsidRPr="000C0BC7">
                                        <w:rPr>
                                          <w:rFonts w:ascii="Verdana" w:hAnsi="Verdana"/>
                                          <w:color w:val="186D56"/>
                                          <w:sz w:val="17"/>
                                          <w:szCs w:val="17"/>
                                          <w:lang w:val="es-MX" w:eastAsia="es-MX"/>
                                        </w:rPr>
                                        <w:t>Lineamientos Generales del Sistema de Contabilidad Gubernamental Simplificado para los Municipios con Menos de Veinticinco Mil Habitantes</w:t>
                                      </w:r>
                                    </w:hyperlink>
                                  </w:p>
                                  <w:p w:rsidR="000C0BC7" w:rsidRPr="000C0BC7" w:rsidRDefault="001A5F7E" w:rsidP="000C0BC7">
                                    <w:pPr>
                                      <w:numPr>
                                        <w:ilvl w:val="0"/>
                                        <w:numId w:val="35"/>
                                      </w:numPr>
                                      <w:spacing w:before="100" w:beforeAutospacing="1" w:after="100" w:afterAutospacing="1"/>
                                      <w:rPr>
                                        <w:rFonts w:ascii="Times New Roman" w:hAnsi="Times New Roman"/>
                                        <w:lang w:val="es-MX" w:eastAsia="es-MX"/>
                                      </w:rPr>
                                    </w:pPr>
                                    <w:hyperlink r:id="rId231" w:tgtFrame="_blank" w:history="1">
                                      <w:r w:rsidR="000C0BC7" w:rsidRPr="000C0BC7">
                                        <w:rPr>
                                          <w:rFonts w:ascii="Verdana" w:hAnsi="Verdana"/>
                                          <w:color w:val="186D56"/>
                                          <w:sz w:val="17"/>
                                          <w:szCs w:val="17"/>
                                          <w:lang w:val="es-MX" w:eastAsia="es-MX"/>
                                        </w:rPr>
                                        <w:t>Reglas Específicas del Registro y Valoración del Patrimonio</w:t>
                                      </w:r>
                                    </w:hyperlink>
                                  </w:p>
                                  <w:p w:rsidR="000C0BC7" w:rsidRPr="000C0BC7" w:rsidRDefault="000C0BC7" w:rsidP="000C0BC7">
                                    <w:pPr>
                                      <w:spacing w:after="240"/>
                                      <w:rPr>
                                        <w:rFonts w:ascii="Times New Roman" w:hAnsi="Times New Roman"/>
                                        <w:lang w:val="es-MX" w:eastAsia="es-MX"/>
                                      </w:rPr>
                                    </w:pP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r w:rsidRPr="000C0BC7">
                                      <w:rPr>
                                        <w:rFonts w:ascii="Times New Roman" w:hAnsi="Times New Roman"/>
                                        <w:lang w:val="es-MX" w:eastAsia="es-MX"/>
                                      </w:rPr>
                                      <w:br/>
                                    </w:r>
                                  </w:p>
                                </w:tc>
                              </w:tr>
                            </w:tbl>
                            <w:p w:rsidR="000C0BC7" w:rsidRPr="000C0BC7" w:rsidRDefault="000C0BC7" w:rsidP="000C0BC7">
                              <w:pPr>
                                <w:spacing w:before="100" w:beforeAutospacing="1" w:after="100" w:afterAutospacing="1"/>
                                <w:rPr>
                                  <w:rFonts w:ascii="Times New Roman" w:hAnsi="Times New Roman"/>
                                  <w:color w:val="333333"/>
                                  <w:sz w:val="18"/>
                                  <w:szCs w:val="18"/>
                                  <w:lang w:val="es-MX" w:eastAsia="es-MX"/>
                                </w:rPr>
                              </w:pPr>
                            </w:p>
                          </w:tc>
                        </w:tr>
                      </w:tbl>
                      <w:p w:rsidR="000C0BC7" w:rsidRPr="000C0BC7" w:rsidRDefault="000C0BC7" w:rsidP="000C0BC7">
                        <w:pPr>
                          <w:rPr>
                            <w:rFonts w:ascii="Times New Roman" w:hAnsi="Times New Roman"/>
                            <w:lang w:val="es-MX" w:eastAsia="es-MX"/>
                          </w:rPr>
                        </w:pPr>
                        <w:r w:rsidRPr="000C0BC7">
                          <w:rPr>
                            <w:rFonts w:ascii="Times New Roman" w:hAnsi="Times New Roman"/>
                            <w:lang w:val="es-MX" w:eastAsia="es-MX"/>
                          </w:rPr>
                          <w:lastRenderedPageBreak/>
                          <w:br/>
                          <w:t xml:space="preserve">.. </w:t>
                        </w:r>
                      </w:p>
                    </w:tc>
                  </w:tr>
                </w:tbl>
                <w:p w:rsidR="000C0BC7" w:rsidRPr="000C0BC7" w:rsidRDefault="000C0BC7" w:rsidP="000C0BC7">
                  <w:pPr>
                    <w:jc w:val="center"/>
                    <w:rPr>
                      <w:rFonts w:ascii="Times New Roman" w:hAnsi="Times New Roman"/>
                      <w:lang w:val="es-MX" w:eastAsia="es-MX"/>
                    </w:rPr>
                  </w:pPr>
                </w:p>
              </w:tc>
              <w:tc>
                <w:tcPr>
                  <w:tcW w:w="0" w:type="auto"/>
                  <w:hideMark/>
                </w:tcPr>
                <w:p w:rsidR="000C0BC7" w:rsidRPr="000C0BC7" w:rsidRDefault="000C0BC7" w:rsidP="000C0BC7">
                  <w:pPr>
                    <w:rPr>
                      <w:rFonts w:ascii="Times New Roman" w:hAnsi="Times New Roman"/>
                      <w:lang w:val="es-MX" w:eastAsia="es-MX"/>
                    </w:rPr>
                  </w:pPr>
                  <w:r w:rsidRPr="000C0BC7">
                    <w:rPr>
                      <w:rFonts w:ascii="Times New Roman" w:hAnsi="Times New Roman"/>
                      <w:noProof/>
                      <w:lang w:val="es-MX" w:eastAsia="es-MX"/>
                    </w:rPr>
                    <w:lastRenderedPageBreak/>
                    <w:drawing>
                      <wp:inline distT="0" distB="0" distL="0" distR="0">
                        <wp:extent cx="152400" cy="4333875"/>
                        <wp:effectExtent l="19050" t="0" r="0" b="0"/>
                        <wp:docPr id="32" name="Imagen 88" descr="http://www.conac.gob.mx/imgenes/cpo_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onac.gob.mx/imgenes/cpo_der.jpg"/>
                                <pic:cNvPicPr>
                                  <a:picLocks noChangeAspect="1" noChangeArrowheads="1"/>
                                </pic:cNvPicPr>
                              </pic:nvPicPr>
                              <pic:blipFill>
                                <a:blip r:embed="rId232"/>
                                <a:srcRect/>
                                <a:stretch>
                                  <a:fillRect/>
                                </a:stretch>
                              </pic:blipFill>
                              <pic:spPr bwMode="auto">
                                <a:xfrm>
                                  <a:off x="0" y="0"/>
                                  <a:ext cx="152400" cy="4333875"/>
                                </a:xfrm>
                                <a:prstGeom prst="rect">
                                  <a:avLst/>
                                </a:prstGeom>
                                <a:noFill/>
                                <a:ln w="9525">
                                  <a:noFill/>
                                  <a:miter lim="800000"/>
                                  <a:headEnd/>
                                  <a:tailEnd/>
                                </a:ln>
                              </pic:spPr>
                            </pic:pic>
                          </a:graphicData>
                        </a:graphic>
                      </wp:inline>
                    </w:drawing>
                  </w:r>
                </w:p>
              </w:tc>
            </w:tr>
            <w:tr w:rsidR="000C0BC7" w:rsidRPr="000C0BC7">
              <w:trPr>
                <w:tblCellSpacing w:w="0" w:type="dxa"/>
                <w:jc w:val="center"/>
              </w:trPr>
              <w:tc>
                <w:tcPr>
                  <w:tcW w:w="0" w:type="auto"/>
                  <w:vAlign w:val="center"/>
                  <w:hideMark/>
                </w:tcPr>
                <w:p w:rsidR="000C0BC7" w:rsidRPr="000C0BC7" w:rsidRDefault="000C0BC7" w:rsidP="000C0BC7">
                  <w:pPr>
                    <w:rPr>
                      <w:rFonts w:ascii="Times New Roman" w:hAnsi="Times New Roman"/>
                      <w:lang w:val="es-MX" w:eastAsia="es-MX"/>
                    </w:rPr>
                  </w:pPr>
                  <w:r w:rsidRPr="000C0BC7">
                    <w:rPr>
                      <w:rFonts w:ascii="Times New Roman" w:hAnsi="Times New Roman"/>
                      <w:lang w:val="es-MX" w:eastAsia="es-MX"/>
                    </w:rPr>
                    <w:lastRenderedPageBreak/>
                    <w:t> </w:t>
                  </w:r>
                </w:p>
              </w:tc>
              <w:tc>
                <w:tcPr>
                  <w:tcW w:w="0" w:type="auto"/>
                  <w:vAlign w:val="center"/>
                  <w:hideMark/>
                </w:tcPr>
                <w:p w:rsidR="000C0BC7" w:rsidRPr="000C0BC7" w:rsidRDefault="000C0BC7" w:rsidP="000C0BC7">
                  <w:pPr>
                    <w:rPr>
                      <w:rFonts w:ascii="Times New Roman" w:hAnsi="Times New Roman"/>
                      <w:lang w:val="es-MX" w:eastAsia="es-MX"/>
                    </w:rPr>
                  </w:pPr>
                  <w:r w:rsidRPr="000C0BC7">
                    <w:rPr>
                      <w:rFonts w:ascii="Times New Roman" w:hAnsi="Times New Roman"/>
                      <w:lang w:val="es-MX" w:eastAsia="es-MX"/>
                    </w:rPr>
                    <w:t> </w:t>
                  </w:r>
                </w:p>
              </w:tc>
              <w:tc>
                <w:tcPr>
                  <w:tcW w:w="0" w:type="auto"/>
                  <w:vAlign w:val="center"/>
                  <w:hideMark/>
                </w:tcPr>
                <w:p w:rsidR="000C0BC7" w:rsidRPr="000C0BC7" w:rsidRDefault="000C0BC7" w:rsidP="000C0BC7">
                  <w:pPr>
                    <w:rPr>
                      <w:rFonts w:ascii="Times New Roman" w:hAnsi="Times New Roman"/>
                      <w:lang w:val="es-MX" w:eastAsia="es-MX"/>
                    </w:rPr>
                  </w:pPr>
                  <w:r w:rsidRPr="000C0BC7">
                    <w:rPr>
                      <w:rFonts w:ascii="Times New Roman" w:hAnsi="Times New Roman"/>
                      <w:lang w:val="es-MX" w:eastAsia="es-MX"/>
                    </w:rPr>
                    <w:t> </w:t>
                  </w:r>
                </w:p>
              </w:tc>
            </w:tr>
          </w:tbl>
          <w:p w:rsidR="000C0BC7" w:rsidRDefault="00C43FCE" w:rsidP="000C0BC7">
            <w:pPr>
              <w:jc w:val="center"/>
              <w:rPr>
                <w:rFonts w:ascii="Arial" w:hAnsi="Arial" w:cs="Arial"/>
                <w:b/>
                <w:sz w:val="32"/>
                <w:szCs w:val="32"/>
                <w:lang w:val="es-MX" w:eastAsia="es-MX"/>
              </w:rPr>
            </w:pPr>
            <w:r>
              <w:rPr>
                <w:rFonts w:ascii="Arial" w:hAnsi="Arial" w:cs="Arial"/>
                <w:b/>
                <w:sz w:val="32"/>
                <w:szCs w:val="32"/>
                <w:lang w:val="es-MX" w:eastAsia="es-MX"/>
              </w:rPr>
              <w:t>ANEXO II</w:t>
            </w: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r w:rsidRPr="00C43FCE">
              <w:rPr>
                <w:rFonts w:ascii="Arial" w:hAnsi="Arial" w:cs="Arial"/>
                <w:b/>
                <w:sz w:val="32"/>
                <w:szCs w:val="32"/>
                <w:lang w:val="es-MX" w:eastAsia="es-MX"/>
              </w:rPr>
              <w:t>Guía de requerimientos mínimos para la valoración de aplicativos informáticos de administración y</w:t>
            </w:r>
            <w:r>
              <w:rPr>
                <w:rFonts w:ascii="Arial" w:hAnsi="Arial" w:cs="Arial"/>
                <w:b/>
                <w:sz w:val="32"/>
                <w:szCs w:val="32"/>
                <w:lang w:val="es-MX" w:eastAsia="es-MX"/>
              </w:rPr>
              <w:t xml:space="preserve"> gestión de información financiera</w:t>
            </w:r>
          </w:p>
          <w:p w:rsidR="00C43FCE" w:rsidRDefault="00C43FCE" w:rsidP="000C0BC7">
            <w:pPr>
              <w:jc w:val="center"/>
              <w:rPr>
                <w:rFonts w:ascii="Arial" w:hAnsi="Arial" w:cs="Arial"/>
                <w:b/>
                <w:sz w:val="32"/>
                <w:szCs w:val="32"/>
                <w:lang w:val="es-MX" w:eastAsia="es-MX"/>
              </w:rPr>
            </w:pPr>
          </w:p>
          <w:p w:rsidR="00C43FCE" w:rsidRDefault="001A5F7E" w:rsidP="000C0BC7">
            <w:pPr>
              <w:jc w:val="center"/>
              <w:rPr>
                <w:rFonts w:ascii="Arial" w:hAnsi="Arial" w:cs="Arial"/>
                <w:b/>
                <w:sz w:val="32"/>
                <w:szCs w:val="32"/>
                <w:lang w:val="es-MX" w:eastAsia="es-MX"/>
              </w:rPr>
            </w:pPr>
            <w:r>
              <w:rPr>
                <w:rFonts w:ascii="Arial" w:hAnsi="Arial" w:cs="Arial"/>
                <w:b/>
                <w:noProof/>
                <w:sz w:val="32"/>
                <w:szCs w:val="32"/>
                <w:lang w:val="es-MX"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2" type="#_x0000_t67" style="position:absolute;left:0;text-align:left;margin-left:187.85pt;margin-top:9.6pt;width:87.75pt;height:126.7pt;z-index:251660288" adj="15565,6326" strokeweight="3pt">
                  <v:textbox style="layout-flow:vertical-ideographic"/>
                </v:shape>
              </w:pict>
            </w: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p>
          <w:p w:rsidR="00C43FCE" w:rsidRDefault="00C43FCE" w:rsidP="000C0BC7">
            <w:pPr>
              <w:jc w:val="center"/>
              <w:rPr>
                <w:rFonts w:ascii="Arial" w:hAnsi="Arial" w:cs="Arial"/>
                <w:b/>
                <w:sz w:val="32"/>
                <w:szCs w:val="32"/>
                <w:lang w:val="es-MX" w:eastAsia="es-MX"/>
              </w:rPr>
            </w:pPr>
          </w:p>
          <w:p w:rsidR="00C43FCE" w:rsidRDefault="00C43FCE" w:rsidP="00C43FCE">
            <w:pPr>
              <w:jc w:val="center"/>
              <w:rPr>
                <w:rFonts w:ascii="Arial" w:hAnsi="Arial" w:cs="Arial"/>
                <w:b/>
                <w:sz w:val="32"/>
                <w:szCs w:val="32"/>
                <w:lang w:val="es-MX" w:eastAsia="es-MX"/>
              </w:rPr>
            </w:pPr>
          </w:p>
          <w:p w:rsidR="00C43FCE" w:rsidRDefault="00C43FCE" w:rsidP="00C43FCE">
            <w:pPr>
              <w:jc w:val="center"/>
              <w:rPr>
                <w:rFonts w:ascii="Arial" w:hAnsi="Arial" w:cs="Arial"/>
                <w:b/>
                <w:sz w:val="32"/>
                <w:szCs w:val="32"/>
                <w:lang w:val="es-MX" w:eastAsia="es-MX"/>
              </w:rPr>
            </w:pPr>
          </w:p>
          <w:p w:rsidR="00C43FCE" w:rsidRDefault="00C43FCE" w:rsidP="00C43FCE">
            <w:pPr>
              <w:jc w:val="center"/>
              <w:rPr>
                <w:rFonts w:ascii="Arial" w:hAnsi="Arial" w:cs="Arial"/>
                <w:b/>
                <w:sz w:val="32"/>
                <w:szCs w:val="32"/>
                <w:lang w:val="es-MX" w:eastAsia="es-MX"/>
              </w:rPr>
            </w:pPr>
          </w:p>
          <w:p w:rsidR="00C43FCE" w:rsidRPr="00C43FCE" w:rsidRDefault="00C43FCE" w:rsidP="00C43FCE">
            <w:pPr>
              <w:jc w:val="center"/>
              <w:rPr>
                <w:rFonts w:ascii="Arial" w:hAnsi="Arial" w:cs="Arial"/>
                <w:b/>
                <w:sz w:val="32"/>
                <w:szCs w:val="32"/>
                <w:lang w:val="es-MX" w:eastAsia="es-MX"/>
              </w:rPr>
            </w:pPr>
            <w:r>
              <w:rPr>
                <w:rFonts w:ascii="Arial" w:hAnsi="Arial" w:cs="Arial"/>
                <w:b/>
                <w:sz w:val="32"/>
                <w:szCs w:val="32"/>
                <w:lang w:val="es-MX" w:eastAsia="es-MX"/>
              </w:rPr>
              <w:t>Funcionalidades indispensables que deben cubrir los aplicativos informáticos según la Ley General de Contabilidad Gubernamental</w:t>
            </w:r>
          </w:p>
        </w:tc>
      </w:tr>
    </w:tbl>
    <w:p w:rsidR="00AE6480" w:rsidRPr="00FE72F6" w:rsidRDefault="00FE72F6" w:rsidP="0014128B">
      <w:pPr>
        <w:jc w:val="both"/>
        <w:rPr>
          <w:rFonts w:cs="Calibri"/>
          <w:sz w:val="32"/>
          <w:szCs w:val="32"/>
          <w:lang w:val="es-MX"/>
        </w:rPr>
      </w:pPr>
      <w:r w:rsidRPr="00FE72F6">
        <w:rPr>
          <w:noProof/>
          <w:szCs w:val="32"/>
          <w:lang w:val="es-MX" w:eastAsia="es-MX"/>
        </w:rPr>
        <w:lastRenderedPageBreak/>
        <w:drawing>
          <wp:inline distT="0" distB="0" distL="0" distR="0">
            <wp:extent cx="5940425" cy="8081246"/>
            <wp:effectExtent l="19050" t="0" r="317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3"/>
                    <a:srcRect/>
                    <a:stretch>
                      <a:fillRect/>
                    </a:stretch>
                  </pic:blipFill>
                  <pic:spPr bwMode="auto">
                    <a:xfrm>
                      <a:off x="0" y="0"/>
                      <a:ext cx="5940425" cy="8081246"/>
                    </a:xfrm>
                    <a:prstGeom prst="rect">
                      <a:avLst/>
                    </a:prstGeom>
                    <a:noFill/>
                    <a:ln w="9525">
                      <a:noFill/>
                      <a:miter lim="800000"/>
                      <a:headEnd/>
                      <a:tailEnd/>
                    </a:ln>
                  </pic:spPr>
                </pic:pic>
              </a:graphicData>
            </a:graphic>
          </wp:inline>
        </w:drawing>
      </w:r>
    </w:p>
    <w:p w:rsidR="00AE6480" w:rsidRPr="00FE72F6" w:rsidRDefault="00FE72F6" w:rsidP="0014128B">
      <w:pPr>
        <w:jc w:val="both"/>
        <w:rPr>
          <w:rFonts w:cs="Calibri"/>
          <w:sz w:val="32"/>
          <w:szCs w:val="32"/>
          <w:lang w:val="es-MX"/>
        </w:rPr>
      </w:pPr>
      <w:r w:rsidRPr="00FE72F6">
        <w:rPr>
          <w:noProof/>
          <w:szCs w:val="32"/>
          <w:lang w:val="es-MX" w:eastAsia="es-MX"/>
        </w:rPr>
        <w:lastRenderedPageBreak/>
        <w:drawing>
          <wp:inline distT="0" distB="0" distL="0" distR="0">
            <wp:extent cx="5940425" cy="7989092"/>
            <wp:effectExtent l="19050" t="0" r="317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4"/>
                    <a:srcRect/>
                    <a:stretch>
                      <a:fillRect/>
                    </a:stretch>
                  </pic:blipFill>
                  <pic:spPr bwMode="auto">
                    <a:xfrm>
                      <a:off x="0" y="0"/>
                      <a:ext cx="5940425" cy="7989092"/>
                    </a:xfrm>
                    <a:prstGeom prst="rect">
                      <a:avLst/>
                    </a:prstGeom>
                    <a:noFill/>
                    <a:ln w="9525">
                      <a:noFill/>
                      <a:miter lim="800000"/>
                      <a:headEnd/>
                      <a:tailEnd/>
                    </a:ln>
                  </pic:spPr>
                </pic:pic>
              </a:graphicData>
            </a:graphic>
          </wp:inline>
        </w:drawing>
      </w:r>
    </w:p>
    <w:p w:rsidR="00AE6480" w:rsidRPr="00FE72F6" w:rsidRDefault="00FE72F6" w:rsidP="0014128B">
      <w:pPr>
        <w:jc w:val="both"/>
        <w:rPr>
          <w:rFonts w:cs="Calibri"/>
          <w:sz w:val="32"/>
          <w:szCs w:val="32"/>
          <w:lang w:val="es-MX"/>
        </w:rPr>
      </w:pPr>
      <w:r w:rsidRPr="00FE72F6">
        <w:rPr>
          <w:noProof/>
          <w:szCs w:val="32"/>
          <w:lang w:val="es-MX" w:eastAsia="es-MX"/>
        </w:rPr>
        <w:lastRenderedPageBreak/>
        <w:drawing>
          <wp:inline distT="0" distB="0" distL="0" distR="0">
            <wp:extent cx="5940425" cy="7748072"/>
            <wp:effectExtent l="19050" t="0" r="317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5"/>
                    <a:srcRect/>
                    <a:stretch>
                      <a:fillRect/>
                    </a:stretch>
                  </pic:blipFill>
                  <pic:spPr bwMode="auto">
                    <a:xfrm>
                      <a:off x="0" y="0"/>
                      <a:ext cx="5940425" cy="7748072"/>
                    </a:xfrm>
                    <a:prstGeom prst="rect">
                      <a:avLst/>
                    </a:prstGeom>
                    <a:noFill/>
                    <a:ln w="9525">
                      <a:noFill/>
                      <a:miter lim="800000"/>
                      <a:headEnd/>
                      <a:tailEnd/>
                    </a:ln>
                  </pic:spPr>
                </pic:pic>
              </a:graphicData>
            </a:graphic>
          </wp:inline>
        </w:drawing>
      </w:r>
    </w:p>
    <w:p w:rsidR="00AE6480" w:rsidRDefault="00AE6480" w:rsidP="0014128B">
      <w:pPr>
        <w:jc w:val="both"/>
        <w:rPr>
          <w:rFonts w:cs="Calibri"/>
          <w:sz w:val="32"/>
          <w:szCs w:val="32"/>
        </w:rPr>
      </w:pPr>
    </w:p>
    <w:p w:rsidR="00AE6480" w:rsidRPr="00FE72F6" w:rsidRDefault="00FE72F6" w:rsidP="0014128B">
      <w:pPr>
        <w:jc w:val="both"/>
        <w:rPr>
          <w:rFonts w:cs="Calibri"/>
          <w:sz w:val="32"/>
          <w:szCs w:val="32"/>
          <w:lang w:val="es-MX"/>
        </w:rPr>
      </w:pPr>
      <w:r w:rsidRPr="00FE72F6">
        <w:rPr>
          <w:noProof/>
          <w:szCs w:val="32"/>
          <w:lang w:val="es-MX" w:eastAsia="es-MX"/>
        </w:rPr>
        <w:lastRenderedPageBreak/>
        <w:drawing>
          <wp:inline distT="0" distB="0" distL="0" distR="0">
            <wp:extent cx="5940425" cy="5543451"/>
            <wp:effectExtent l="19050" t="0" r="317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6"/>
                    <a:srcRect/>
                    <a:stretch>
                      <a:fillRect/>
                    </a:stretch>
                  </pic:blipFill>
                  <pic:spPr bwMode="auto">
                    <a:xfrm>
                      <a:off x="0" y="0"/>
                      <a:ext cx="5940425" cy="5543451"/>
                    </a:xfrm>
                    <a:prstGeom prst="rect">
                      <a:avLst/>
                    </a:prstGeom>
                    <a:noFill/>
                    <a:ln w="9525">
                      <a:noFill/>
                      <a:miter lim="800000"/>
                      <a:headEnd/>
                      <a:tailEnd/>
                    </a:ln>
                  </pic:spPr>
                </pic:pic>
              </a:graphicData>
            </a:graphic>
          </wp:inline>
        </w:drawing>
      </w:r>
    </w:p>
    <w:p w:rsidR="00AE6480" w:rsidRDefault="00AE6480"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290A5C" w:rsidRDefault="00290A5C" w:rsidP="0014128B">
      <w:pPr>
        <w:jc w:val="both"/>
        <w:rPr>
          <w:rFonts w:cs="Calibri"/>
          <w:sz w:val="32"/>
          <w:szCs w:val="32"/>
        </w:rPr>
      </w:pPr>
    </w:p>
    <w:p w:rsidR="00290A5C" w:rsidRDefault="00290A5C" w:rsidP="0014128B">
      <w:pPr>
        <w:jc w:val="both"/>
        <w:rPr>
          <w:rFonts w:cs="Calibri"/>
          <w:sz w:val="32"/>
          <w:szCs w:val="32"/>
        </w:rPr>
      </w:pPr>
    </w:p>
    <w:p w:rsidR="00290A5C" w:rsidRDefault="00290A5C" w:rsidP="0014128B">
      <w:pPr>
        <w:jc w:val="both"/>
        <w:rPr>
          <w:rFonts w:cs="Calibri"/>
          <w:sz w:val="32"/>
          <w:szCs w:val="32"/>
        </w:rPr>
      </w:pPr>
    </w:p>
    <w:p w:rsidR="00290A5C" w:rsidRDefault="00290A5C" w:rsidP="0014128B">
      <w:pPr>
        <w:jc w:val="both"/>
        <w:rPr>
          <w:rFonts w:cs="Calibri"/>
          <w:sz w:val="32"/>
          <w:szCs w:val="32"/>
        </w:rPr>
      </w:pPr>
    </w:p>
    <w:p w:rsidR="00290A5C" w:rsidRDefault="00290A5C"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3071E3" w:rsidRDefault="003071E3" w:rsidP="0014128B">
      <w:pPr>
        <w:jc w:val="both"/>
        <w:rPr>
          <w:rFonts w:cs="Calibri"/>
          <w:sz w:val="32"/>
          <w:szCs w:val="32"/>
        </w:rPr>
      </w:pPr>
    </w:p>
    <w:p w:rsidR="003071E3" w:rsidRDefault="003071E3" w:rsidP="0014128B">
      <w:pPr>
        <w:jc w:val="both"/>
        <w:rPr>
          <w:rFonts w:cs="Calibri"/>
          <w:sz w:val="32"/>
          <w:szCs w:val="32"/>
        </w:rPr>
      </w:pPr>
    </w:p>
    <w:p w:rsidR="001A73FD" w:rsidRDefault="001A73FD" w:rsidP="0014128B">
      <w:pPr>
        <w:jc w:val="both"/>
        <w:rPr>
          <w:rFonts w:cs="Calibri"/>
          <w:sz w:val="32"/>
          <w:szCs w:val="32"/>
        </w:rPr>
      </w:pPr>
    </w:p>
    <w:p w:rsidR="00290A5C" w:rsidRDefault="00290A5C" w:rsidP="00290A5C">
      <w:pPr>
        <w:jc w:val="center"/>
        <w:rPr>
          <w:rFonts w:ascii="Arial" w:hAnsi="Arial" w:cs="Arial"/>
          <w:b/>
          <w:sz w:val="32"/>
          <w:szCs w:val="32"/>
          <w:lang w:val="es-MX" w:eastAsia="es-MX"/>
        </w:rPr>
      </w:pPr>
      <w:r>
        <w:rPr>
          <w:rFonts w:ascii="Arial" w:hAnsi="Arial" w:cs="Arial"/>
          <w:b/>
          <w:sz w:val="32"/>
          <w:szCs w:val="32"/>
          <w:lang w:val="es-MX" w:eastAsia="es-MX"/>
        </w:rPr>
        <w:t>ANEXO III</w:t>
      </w: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r>
        <w:rPr>
          <w:rFonts w:ascii="Arial" w:hAnsi="Arial" w:cs="Arial"/>
          <w:b/>
          <w:sz w:val="32"/>
          <w:szCs w:val="32"/>
          <w:lang w:val="es-MX" w:eastAsia="es-MX"/>
        </w:rPr>
        <w:t>Reglas Específicas del Registro y Valoración del Patrimonio</w:t>
      </w:r>
    </w:p>
    <w:p w:rsidR="00290A5C" w:rsidRDefault="00290A5C" w:rsidP="00290A5C">
      <w:pPr>
        <w:jc w:val="center"/>
        <w:rPr>
          <w:rFonts w:ascii="Arial" w:hAnsi="Arial" w:cs="Arial"/>
          <w:b/>
          <w:sz w:val="32"/>
          <w:szCs w:val="32"/>
          <w:lang w:val="es-MX" w:eastAsia="es-MX"/>
        </w:rPr>
      </w:pPr>
    </w:p>
    <w:p w:rsidR="00290A5C" w:rsidRDefault="001A5F7E" w:rsidP="00290A5C">
      <w:pPr>
        <w:jc w:val="center"/>
        <w:rPr>
          <w:rFonts w:ascii="Arial" w:hAnsi="Arial" w:cs="Arial"/>
          <w:b/>
          <w:sz w:val="32"/>
          <w:szCs w:val="32"/>
          <w:lang w:val="es-MX" w:eastAsia="es-MX"/>
        </w:rPr>
      </w:pPr>
      <w:r>
        <w:rPr>
          <w:rFonts w:ascii="Arial" w:hAnsi="Arial" w:cs="Arial"/>
          <w:b/>
          <w:noProof/>
          <w:sz w:val="32"/>
          <w:szCs w:val="32"/>
          <w:lang w:val="es-MX" w:eastAsia="es-MX"/>
        </w:rPr>
        <w:pict>
          <v:shape id="_x0000_s1113" type="#_x0000_t67" style="position:absolute;left:0;text-align:left;margin-left:187.85pt;margin-top:9.6pt;width:87.75pt;height:126.7pt;z-index:251662336" adj="15565,6326" strokeweight="3pt">
            <v:textbox style="layout-flow:vertical-ideographic"/>
          </v:shape>
        </w:pict>
      </w: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290A5C" w:rsidRDefault="00290A5C" w:rsidP="00290A5C">
      <w:pPr>
        <w:jc w:val="center"/>
        <w:rPr>
          <w:rFonts w:ascii="Arial" w:hAnsi="Arial" w:cs="Arial"/>
          <w:b/>
          <w:sz w:val="32"/>
          <w:szCs w:val="32"/>
          <w:lang w:val="es-MX" w:eastAsia="es-MX"/>
        </w:rPr>
      </w:pPr>
    </w:p>
    <w:p w:rsidR="001A73FD" w:rsidRDefault="00290A5C" w:rsidP="00290A5C">
      <w:pPr>
        <w:jc w:val="both"/>
        <w:rPr>
          <w:rFonts w:cs="Calibri"/>
          <w:sz w:val="32"/>
          <w:szCs w:val="32"/>
        </w:rPr>
      </w:pPr>
      <w:r>
        <w:rPr>
          <w:rFonts w:ascii="Arial" w:hAnsi="Arial" w:cs="Arial"/>
          <w:b/>
          <w:sz w:val="32"/>
          <w:szCs w:val="32"/>
          <w:lang w:val="es-MX" w:eastAsia="es-MX"/>
        </w:rPr>
        <w:t>Lineamientos dirigidos a asegurar que el Sistema de Contabilidad Gubernamental facilite el registro y control de los inventarios de Bienes Muebles e Inmuebles de los entes públicos.</w:t>
      </w:r>
    </w:p>
    <w:p w:rsidR="001A73FD" w:rsidRDefault="001A73FD" w:rsidP="0014128B">
      <w:pPr>
        <w:jc w:val="both"/>
        <w:rPr>
          <w:rFonts w:cs="Calibri"/>
          <w:sz w:val="32"/>
          <w:szCs w:val="32"/>
        </w:rPr>
      </w:pPr>
    </w:p>
    <w:p w:rsidR="001A73FD" w:rsidRPr="001A73FD" w:rsidRDefault="001A73FD" w:rsidP="0014128B">
      <w:pPr>
        <w:jc w:val="both"/>
        <w:rPr>
          <w:rFonts w:cs="Calibri"/>
          <w:sz w:val="32"/>
          <w:szCs w:val="32"/>
          <w:lang w:val="es-MX"/>
        </w:rPr>
      </w:pPr>
      <w:r w:rsidRPr="001A73FD">
        <w:rPr>
          <w:noProof/>
          <w:szCs w:val="32"/>
          <w:lang w:val="es-MX" w:eastAsia="es-MX"/>
        </w:rPr>
        <w:lastRenderedPageBreak/>
        <w:drawing>
          <wp:inline distT="0" distB="0" distL="0" distR="0">
            <wp:extent cx="5940425" cy="6963720"/>
            <wp:effectExtent l="19050" t="0" r="3175" b="0"/>
            <wp:docPr id="2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7"/>
                    <a:srcRect/>
                    <a:stretch>
                      <a:fillRect/>
                    </a:stretch>
                  </pic:blipFill>
                  <pic:spPr bwMode="auto">
                    <a:xfrm>
                      <a:off x="0" y="0"/>
                      <a:ext cx="5940425" cy="6963720"/>
                    </a:xfrm>
                    <a:prstGeom prst="rect">
                      <a:avLst/>
                    </a:prstGeom>
                    <a:noFill/>
                    <a:ln w="9525">
                      <a:noFill/>
                      <a:miter lim="800000"/>
                      <a:headEnd/>
                      <a:tailEnd/>
                    </a:ln>
                  </pic:spPr>
                </pic:pic>
              </a:graphicData>
            </a:graphic>
          </wp:inline>
        </w:drawing>
      </w: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1A73FD" w:rsidRDefault="001A73FD" w:rsidP="001A73FD">
      <w:pPr>
        <w:tabs>
          <w:tab w:val="left" w:pos="5700"/>
        </w:tabs>
        <w:jc w:val="both"/>
        <w:rPr>
          <w:rFonts w:cs="Calibri"/>
          <w:sz w:val="32"/>
          <w:szCs w:val="32"/>
        </w:rPr>
      </w:pPr>
      <w:r>
        <w:rPr>
          <w:rFonts w:cs="Calibri"/>
          <w:sz w:val="32"/>
          <w:szCs w:val="32"/>
        </w:rPr>
        <w:lastRenderedPageBreak/>
        <w:tab/>
      </w:r>
    </w:p>
    <w:p w:rsidR="001A73FD" w:rsidRDefault="001A73FD" w:rsidP="0014128B">
      <w:pPr>
        <w:jc w:val="both"/>
        <w:rPr>
          <w:rFonts w:cs="Calibri"/>
          <w:sz w:val="32"/>
          <w:szCs w:val="32"/>
        </w:rPr>
      </w:pPr>
    </w:p>
    <w:p w:rsidR="001A73FD" w:rsidRDefault="001A73FD" w:rsidP="0014128B">
      <w:pPr>
        <w:jc w:val="both"/>
        <w:rPr>
          <w:rFonts w:cs="Calibri"/>
          <w:sz w:val="32"/>
          <w:szCs w:val="32"/>
        </w:rPr>
      </w:pPr>
    </w:p>
    <w:p w:rsidR="001A73FD" w:rsidRDefault="001A73FD" w:rsidP="0014128B">
      <w:pPr>
        <w:jc w:val="both"/>
        <w:rPr>
          <w:rFonts w:cs="Calibri"/>
          <w:sz w:val="32"/>
          <w:szCs w:val="32"/>
          <w:lang w:val="es-MX"/>
        </w:rPr>
      </w:pPr>
      <w:r w:rsidRPr="001A73FD">
        <w:rPr>
          <w:noProof/>
          <w:szCs w:val="32"/>
          <w:lang w:val="es-MX" w:eastAsia="es-MX"/>
        </w:rPr>
        <w:drawing>
          <wp:inline distT="0" distB="0" distL="0" distR="0">
            <wp:extent cx="6202661" cy="5934075"/>
            <wp:effectExtent l="19050" t="0" r="7639" b="0"/>
            <wp:docPr id="2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8"/>
                    <a:srcRect/>
                    <a:stretch>
                      <a:fillRect/>
                    </a:stretch>
                  </pic:blipFill>
                  <pic:spPr bwMode="auto">
                    <a:xfrm>
                      <a:off x="0" y="0"/>
                      <a:ext cx="6202661" cy="5934075"/>
                    </a:xfrm>
                    <a:prstGeom prst="rect">
                      <a:avLst/>
                    </a:prstGeom>
                    <a:noFill/>
                    <a:ln w="9525">
                      <a:noFill/>
                      <a:miter lim="800000"/>
                      <a:headEnd/>
                      <a:tailEnd/>
                    </a:ln>
                  </pic:spPr>
                </pic:pic>
              </a:graphicData>
            </a:graphic>
          </wp:inline>
        </w:drawing>
      </w:r>
    </w:p>
    <w:p w:rsidR="001A73FD" w:rsidRDefault="001A73FD" w:rsidP="0014128B">
      <w:pPr>
        <w:jc w:val="both"/>
        <w:rPr>
          <w:rFonts w:cs="Calibri"/>
          <w:sz w:val="32"/>
          <w:szCs w:val="32"/>
          <w:lang w:val="es-MX"/>
        </w:rPr>
      </w:pPr>
    </w:p>
    <w:p w:rsidR="001A73FD" w:rsidRDefault="001A73FD" w:rsidP="0014128B">
      <w:pPr>
        <w:jc w:val="both"/>
        <w:rPr>
          <w:rFonts w:cs="Calibri"/>
          <w:sz w:val="32"/>
          <w:szCs w:val="32"/>
          <w:lang w:val="es-MX"/>
        </w:rPr>
      </w:pPr>
    </w:p>
    <w:p w:rsidR="001A73FD" w:rsidRDefault="001A73FD" w:rsidP="0014128B">
      <w:pPr>
        <w:jc w:val="both"/>
        <w:rPr>
          <w:rFonts w:cs="Calibri"/>
          <w:sz w:val="32"/>
          <w:szCs w:val="32"/>
          <w:lang w:val="es-MX"/>
        </w:rPr>
      </w:pPr>
    </w:p>
    <w:p w:rsidR="001A73FD" w:rsidRDefault="001A73FD" w:rsidP="0014128B">
      <w:pPr>
        <w:jc w:val="both"/>
        <w:rPr>
          <w:rFonts w:cs="Calibri"/>
          <w:sz w:val="32"/>
          <w:szCs w:val="32"/>
          <w:lang w:val="es-MX"/>
        </w:rPr>
      </w:pPr>
    </w:p>
    <w:p w:rsidR="001A73FD" w:rsidRDefault="001A73FD" w:rsidP="0014128B">
      <w:pPr>
        <w:jc w:val="both"/>
        <w:rPr>
          <w:rFonts w:cs="Calibri"/>
          <w:sz w:val="32"/>
          <w:szCs w:val="32"/>
          <w:lang w:val="es-MX"/>
        </w:rPr>
      </w:pPr>
    </w:p>
    <w:p w:rsidR="001A73FD" w:rsidRDefault="001A73FD" w:rsidP="0014128B">
      <w:pPr>
        <w:jc w:val="both"/>
        <w:rPr>
          <w:rFonts w:cs="Calibri"/>
          <w:sz w:val="32"/>
          <w:szCs w:val="32"/>
          <w:lang w:val="es-MX"/>
        </w:rPr>
      </w:pPr>
      <w:r w:rsidRPr="001A73FD">
        <w:rPr>
          <w:noProof/>
          <w:szCs w:val="32"/>
          <w:lang w:val="es-MX" w:eastAsia="es-MX"/>
        </w:rPr>
        <w:lastRenderedPageBreak/>
        <w:drawing>
          <wp:inline distT="0" distB="0" distL="0" distR="0">
            <wp:extent cx="5940425" cy="8039100"/>
            <wp:effectExtent l="19050" t="0" r="3175" b="0"/>
            <wp:docPr id="2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9"/>
                    <a:srcRect/>
                    <a:stretch>
                      <a:fillRect/>
                    </a:stretch>
                  </pic:blipFill>
                  <pic:spPr bwMode="auto">
                    <a:xfrm>
                      <a:off x="0" y="0"/>
                      <a:ext cx="5940425" cy="8039100"/>
                    </a:xfrm>
                    <a:prstGeom prst="rect">
                      <a:avLst/>
                    </a:prstGeom>
                    <a:noFill/>
                    <a:ln w="9525">
                      <a:noFill/>
                      <a:miter lim="800000"/>
                      <a:headEnd/>
                      <a:tailEnd/>
                    </a:ln>
                  </pic:spPr>
                </pic:pic>
              </a:graphicData>
            </a:graphic>
          </wp:inline>
        </w:drawing>
      </w:r>
    </w:p>
    <w:p w:rsidR="001A73FD" w:rsidRDefault="001A73FD" w:rsidP="0014128B">
      <w:pPr>
        <w:jc w:val="both"/>
        <w:rPr>
          <w:rFonts w:cs="Calibri"/>
          <w:sz w:val="32"/>
          <w:szCs w:val="32"/>
          <w:lang w:val="es-MX"/>
        </w:rPr>
      </w:pPr>
      <w:r w:rsidRPr="001A73FD">
        <w:rPr>
          <w:noProof/>
          <w:szCs w:val="32"/>
          <w:lang w:val="es-MX" w:eastAsia="es-MX"/>
        </w:rPr>
        <w:lastRenderedPageBreak/>
        <w:drawing>
          <wp:inline distT="0" distB="0" distL="0" distR="0">
            <wp:extent cx="5940425" cy="8102146"/>
            <wp:effectExtent l="19050" t="0" r="3175" b="0"/>
            <wp:docPr id="2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0"/>
                    <a:srcRect/>
                    <a:stretch>
                      <a:fillRect/>
                    </a:stretch>
                  </pic:blipFill>
                  <pic:spPr bwMode="auto">
                    <a:xfrm>
                      <a:off x="0" y="0"/>
                      <a:ext cx="5940425" cy="8102146"/>
                    </a:xfrm>
                    <a:prstGeom prst="rect">
                      <a:avLst/>
                    </a:prstGeom>
                    <a:noFill/>
                    <a:ln w="9525">
                      <a:noFill/>
                      <a:miter lim="800000"/>
                      <a:headEnd/>
                      <a:tailEnd/>
                    </a:ln>
                  </pic:spPr>
                </pic:pic>
              </a:graphicData>
            </a:graphic>
          </wp:inline>
        </w:drawing>
      </w:r>
    </w:p>
    <w:p w:rsidR="001A73FD" w:rsidRPr="001A73FD" w:rsidRDefault="001A73FD" w:rsidP="0014128B">
      <w:pPr>
        <w:jc w:val="both"/>
        <w:rPr>
          <w:rFonts w:cs="Calibri"/>
          <w:sz w:val="32"/>
          <w:szCs w:val="32"/>
          <w:lang w:val="es-MX"/>
        </w:rPr>
      </w:pPr>
      <w:r w:rsidRPr="001A73FD">
        <w:rPr>
          <w:noProof/>
          <w:szCs w:val="32"/>
          <w:lang w:val="es-MX" w:eastAsia="es-MX"/>
        </w:rPr>
        <w:lastRenderedPageBreak/>
        <w:drawing>
          <wp:inline distT="0" distB="0" distL="0" distR="0">
            <wp:extent cx="5940425" cy="8086725"/>
            <wp:effectExtent l="19050" t="0" r="3175" b="0"/>
            <wp:docPr id="2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9"/>
                    <a:srcRect/>
                    <a:stretch>
                      <a:fillRect/>
                    </a:stretch>
                  </pic:blipFill>
                  <pic:spPr bwMode="auto">
                    <a:xfrm>
                      <a:off x="0" y="0"/>
                      <a:ext cx="5940425" cy="8086725"/>
                    </a:xfrm>
                    <a:prstGeom prst="rect">
                      <a:avLst/>
                    </a:prstGeom>
                    <a:noFill/>
                    <a:ln w="9525">
                      <a:noFill/>
                      <a:miter lim="800000"/>
                      <a:headEnd/>
                      <a:tailEnd/>
                    </a:ln>
                  </pic:spPr>
                </pic:pic>
              </a:graphicData>
            </a:graphic>
          </wp:inline>
        </w:drawing>
      </w:r>
    </w:p>
    <w:sectPr w:rsidR="001A73FD" w:rsidRPr="001A73FD" w:rsidSect="0087351E">
      <w:headerReference w:type="default" r:id="rId241"/>
      <w:footerReference w:type="default" r:id="rId242"/>
      <w:pgSz w:w="12240" w:h="15840"/>
      <w:pgMar w:top="1185" w:right="1467" w:bottom="1417" w:left="1418"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404" w:rsidRDefault="008A5404" w:rsidP="00B44B24">
      <w:r>
        <w:separator/>
      </w:r>
    </w:p>
  </w:endnote>
  <w:endnote w:type="continuationSeparator" w:id="0">
    <w:p w:rsidR="008A5404" w:rsidRDefault="008A5404" w:rsidP="00B44B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KNNFHK+Arial,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BC7" w:rsidRDefault="001A5F7E">
    <w:pPr>
      <w:pStyle w:val="Piedepgina"/>
      <w:jc w:val="center"/>
    </w:pPr>
    <w:r w:rsidRPr="001A5F7E">
      <w:rPr>
        <w:noProof/>
        <w:lang w:val="en-US" w:eastAsia="en-US"/>
      </w:rPr>
      <w:pict>
        <v:shapetype id="_x0000_t32" coordsize="21600,21600" o:spt="32" o:oned="t" path="m,l21600,21600e" filled="f">
          <v:path arrowok="t" fillok="f" o:connecttype="none"/>
          <o:lock v:ext="edit" shapetype="t"/>
        </v:shapetype>
        <v:shape id="_x0000_s2049" type="#_x0000_t32" style="position:absolute;left:0;text-align:left;margin-left:-.75pt;margin-top:13.9pt;width:470.3pt;height:0;z-index:251660288" o:connectortype="straight" strokecolor="#691120"/>
      </w:pict>
    </w:r>
  </w:p>
  <w:p w:rsidR="000C0BC7" w:rsidRDefault="000C0BC7" w:rsidP="00CC7A7B">
    <w:pPr>
      <w:pStyle w:val="Piedepgina"/>
      <w:jc w:val="right"/>
    </w:pPr>
    <w:r>
      <w:t xml:space="preserve">                                                                                                                   </w:t>
    </w:r>
    <w:fldSimple w:instr=" PAGE   \* MERGEFORMAT ">
      <w:r w:rsidR="001A011A">
        <w:rPr>
          <w:noProof/>
        </w:rPr>
        <w:t>118</w:t>
      </w:r>
    </w:fldSimple>
  </w:p>
  <w:p w:rsidR="000C0BC7" w:rsidRDefault="000C0B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404" w:rsidRDefault="008A5404" w:rsidP="00B44B24">
      <w:r>
        <w:separator/>
      </w:r>
    </w:p>
  </w:footnote>
  <w:footnote w:type="continuationSeparator" w:id="0">
    <w:p w:rsidR="008A5404" w:rsidRDefault="008A5404" w:rsidP="00B44B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BC7" w:rsidRDefault="000C0BC7" w:rsidP="00326753">
    <w:pPr>
      <w:pStyle w:val="Encabezado"/>
      <w:ind w:right="-235"/>
      <w:jc w:val="center"/>
      <w:rPr>
        <w:rFonts w:ascii="Tahoma" w:hAnsi="Tahoma"/>
        <w:b/>
        <w:color w:val="FFFFFF"/>
        <w:sz w:val="18"/>
      </w:rPr>
    </w:pPr>
    <w:r w:rsidRPr="00326753">
      <w:rPr>
        <w:b/>
        <w:color w:val="FFFFFF"/>
        <w:sz w:val="28"/>
        <w:szCs w:val="28"/>
        <w:u w:val="single"/>
        <w:shd w:val="clear" w:color="auto" w:fill="691120"/>
        <w:lang w:val="es-ES_tradnl"/>
      </w:rPr>
      <w:t xml:space="preserve"> </w:t>
    </w:r>
    <w:r>
      <w:rPr>
        <w:b/>
        <w:color w:val="FFFFFF"/>
        <w:sz w:val="28"/>
        <w:szCs w:val="28"/>
        <w:u w:val="single"/>
        <w:shd w:val="clear" w:color="auto" w:fill="691120"/>
        <w:lang w:val="es-ES_tradnl"/>
      </w:rPr>
      <w:t>CONTABILIDAD GUBERNAMENTAL EN LA ARMONIZACION CONTABLE</w:t>
    </w:r>
    <w:r>
      <w:rPr>
        <w:b/>
        <w:color w:val="FFFFFF"/>
        <w:u w:val="single"/>
        <w:shd w:val="clear" w:color="auto" w:fill="691120"/>
        <w:lang w:val="es-ES_tradnl"/>
      </w:rPr>
      <w:t xml:space="preserve">  </w:t>
    </w:r>
    <w:r>
      <w:rPr>
        <w:b/>
        <w:noProof/>
        <w:color w:val="FFFFFF"/>
        <w:u w:val="single"/>
        <w:shd w:val="clear" w:color="auto" w:fill="691120"/>
        <w:lang w:val="es-MX" w:eastAsia="es-MX"/>
      </w:rPr>
      <w:drawing>
        <wp:inline distT="0" distB="0" distL="0" distR="0">
          <wp:extent cx="361950" cy="493568"/>
          <wp:effectExtent l="19050" t="0" r="0" b="0"/>
          <wp:docPr id="6" name="Imagen 6" descr="C:\Documents and Settings\jose antonio\Mis documentos\Mis imágenes\i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se antonio\Mis documentos\Mis imágenes\ipn.gif"/>
                  <pic:cNvPicPr>
                    <a:picLocks noChangeAspect="1" noChangeArrowheads="1"/>
                  </pic:cNvPicPr>
                </pic:nvPicPr>
                <pic:blipFill>
                  <a:blip r:embed="rId1"/>
                  <a:srcRect/>
                  <a:stretch>
                    <a:fillRect/>
                  </a:stretch>
                </pic:blipFill>
                <pic:spPr bwMode="auto">
                  <a:xfrm>
                    <a:off x="0" y="0"/>
                    <a:ext cx="361950" cy="493568"/>
                  </a:xfrm>
                  <a:prstGeom prst="rect">
                    <a:avLst/>
                  </a:prstGeom>
                  <a:noFill/>
                  <a:ln w="9525">
                    <a:noFill/>
                    <a:miter lim="800000"/>
                    <a:headEnd/>
                    <a:tailEnd/>
                  </a:ln>
                </pic:spPr>
              </pic:pic>
            </a:graphicData>
          </a:graphic>
        </wp:inline>
      </w:drawing>
    </w:r>
  </w:p>
  <w:p w:rsidR="000C0BC7" w:rsidRPr="00326753" w:rsidRDefault="000C0BC7">
    <w:pPr>
      <w:pStyle w:val="Encabezado"/>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AAA4FA"/>
    <w:lvl w:ilvl="0">
      <w:start w:val="1"/>
      <w:numFmt w:val="bullet"/>
      <w:lvlText w:val=""/>
      <w:lvlJc w:val="left"/>
      <w:pPr>
        <w:tabs>
          <w:tab w:val="num" w:pos="360"/>
        </w:tabs>
        <w:ind w:left="360" w:hanging="360"/>
      </w:pPr>
      <w:rPr>
        <w:rFonts w:ascii="Symbol" w:hAnsi="Symbol" w:hint="default"/>
      </w:rPr>
    </w:lvl>
  </w:abstractNum>
  <w:abstractNum w:abstractNumId="1">
    <w:nsid w:val="01165151"/>
    <w:multiLevelType w:val="hybridMultilevel"/>
    <w:tmpl w:val="9D08D9B0"/>
    <w:lvl w:ilvl="0" w:tplc="8320E1C4">
      <w:start w:val="8"/>
      <w:numFmt w:val="bullet"/>
      <w:lvlText w:val="-"/>
      <w:lvlJc w:val="left"/>
      <w:pPr>
        <w:ind w:left="540" w:hanging="360"/>
      </w:pPr>
      <w:rPr>
        <w:rFonts w:ascii="Times New Roman" w:eastAsia="SimSu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1F555DE"/>
    <w:multiLevelType w:val="hybridMultilevel"/>
    <w:tmpl w:val="F43E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36C7A"/>
    <w:multiLevelType w:val="multilevel"/>
    <w:tmpl w:val="BB5C4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283B0F"/>
    <w:multiLevelType w:val="hybridMultilevel"/>
    <w:tmpl w:val="ED0C7380"/>
    <w:lvl w:ilvl="0" w:tplc="FFFFFFFF">
      <w:start w:val="4"/>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09DC74B9"/>
    <w:multiLevelType w:val="multilevel"/>
    <w:tmpl w:val="6F3C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0D461D"/>
    <w:multiLevelType w:val="hybridMultilevel"/>
    <w:tmpl w:val="BF84ABBC"/>
    <w:lvl w:ilvl="0" w:tplc="04090017">
      <w:start w:val="1"/>
      <w:numFmt w:val="lowerLetter"/>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nsid w:val="0C333A73"/>
    <w:multiLevelType w:val="multilevel"/>
    <w:tmpl w:val="02B4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49768E"/>
    <w:multiLevelType w:val="multilevel"/>
    <w:tmpl w:val="F384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A07903"/>
    <w:multiLevelType w:val="multilevel"/>
    <w:tmpl w:val="977E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5B68DA"/>
    <w:multiLevelType w:val="multilevel"/>
    <w:tmpl w:val="8F540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66223"/>
    <w:multiLevelType w:val="hybridMultilevel"/>
    <w:tmpl w:val="4438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F5FA7"/>
    <w:multiLevelType w:val="multilevel"/>
    <w:tmpl w:val="8F2AC654"/>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3">
    <w:nsid w:val="28F57230"/>
    <w:multiLevelType w:val="multilevel"/>
    <w:tmpl w:val="CB02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455620"/>
    <w:multiLevelType w:val="singleLevel"/>
    <w:tmpl w:val="0C0A000F"/>
    <w:lvl w:ilvl="0">
      <w:start w:val="1"/>
      <w:numFmt w:val="decimal"/>
      <w:lvlText w:val="%1."/>
      <w:lvlJc w:val="left"/>
      <w:pPr>
        <w:tabs>
          <w:tab w:val="num" w:pos="360"/>
        </w:tabs>
        <w:ind w:left="360" w:hanging="360"/>
      </w:pPr>
      <w:rPr>
        <w:rFonts w:cs="Times New Roman"/>
      </w:rPr>
    </w:lvl>
  </w:abstractNum>
  <w:abstractNum w:abstractNumId="15">
    <w:nsid w:val="32360B12"/>
    <w:multiLevelType w:val="hybridMultilevel"/>
    <w:tmpl w:val="C8CE1878"/>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6">
    <w:nsid w:val="339F12C8"/>
    <w:multiLevelType w:val="multilevel"/>
    <w:tmpl w:val="5C9C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F6820"/>
    <w:multiLevelType w:val="hybridMultilevel"/>
    <w:tmpl w:val="CEE4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24BEB"/>
    <w:multiLevelType w:val="multilevel"/>
    <w:tmpl w:val="8564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DD06CE"/>
    <w:multiLevelType w:val="hybridMultilevel"/>
    <w:tmpl w:val="607035F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nsid w:val="6154220F"/>
    <w:multiLevelType w:val="multilevel"/>
    <w:tmpl w:val="ABD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00697D"/>
    <w:multiLevelType w:val="multilevel"/>
    <w:tmpl w:val="5B82E9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E85A1A"/>
    <w:multiLevelType w:val="multilevel"/>
    <w:tmpl w:val="C3A2B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8C2791"/>
    <w:multiLevelType w:val="multilevel"/>
    <w:tmpl w:val="50D8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CB4A76"/>
    <w:multiLevelType w:val="multilevel"/>
    <w:tmpl w:val="C968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0C7A6B"/>
    <w:multiLevelType w:val="multilevel"/>
    <w:tmpl w:val="62D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2E1E3C"/>
    <w:multiLevelType w:val="multilevel"/>
    <w:tmpl w:val="33AA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015C4B"/>
    <w:multiLevelType w:val="hybridMultilevel"/>
    <w:tmpl w:val="9E8C0166"/>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72882559"/>
    <w:multiLevelType w:val="hybridMultilevel"/>
    <w:tmpl w:val="DCE6FD0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nsid w:val="737A60F3"/>
    <w:multiLevelType w:val="multilevel"/>
    <w:tmpl w:val="2256AF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4FE00D1"/>
    <w:multiLevelType w:val="multilevel"/>
    <w:tmpl w:val="132CF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BD1DA9"/>
    <w:multiLevelType w:val="hybridMultilevel"/>
    <w:tmpl w:val="083E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FA43A1"/>
    <w:multiLevelType w:val="multilevel"/>
    <w:tmpl w:val="953ED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B5074B"/>
    <w:multiLevelType w:val="multilevel"/>
    <w:tmpl w:val="D9C6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2"/>
  </w:num>
  <w:num w:numId="4">
    <w:abstractNumId w:val="5"/>
  </w:num>
  <w:num w:numId="5">
    <w:abstractNumId w:val="16"/>
  </w:num>
  <w:num w:numId="6">
    <w:abstractNumId w:val="23"/>
  </w:num>
  <w:num w:numId="7">
    <w:abstractNumId w:val="10"/>
  </w:num>
  <w:num w:numId="8">
    <w:abstractNumId w:val="7"/>
  </w:num>
  <w:num w:numId="9">
    <w:abstractNumId w:val="33"/>
  </w:num>
  <w:num w:numId="10">
    <w:abstractNumId w:val="29"/>
  </w:num>
  <w:num w:numId="11">
    <w:abstractNumId w:val="18"/>
  </w:num>
  <w:num w:numId="12">
    <w:abstractNumId w:val="24"/>
  </w:num>
  <w:num w:numId="13">
    <w:abstractNumId w:val="20"/>
  </w:num>
  <w:num w:numId="14">
    <w:abstractNumId w:val="21"/>
  </w:num>
  <w:num w:numId="15">
    <w:abstractNumId w:val="22"/>
  </w:num>
  <w:num w:numId="16">
    <w:abstractNumId w:val="15"/>
  </w:num>
  <w:num w:numId="17">
    <w:abstractNumId w:val="14"/>
  </w:num>
  <w:num w:numId="18">
    <w:abstractNumId w:val="4"/>
  </w:num>
  <w:num w:numId="19">
    <w:abstractNumId w:val="27"/>
  </w:num>
  <w:num w:numId="20">
    <w:abstractNumId w:val="28"/>
  </w:num>
  <w:num w:numId="21">
    <w:abstractNumId w:val="6"/>
  </w:num>
  <w:num w:numId="22">
    <w:abstractNumId w:val="19"/>
  </w:num>
  <w:num w:numId="23">
    <w:abstractNumId w:val="11"/>
  </w:num>
  <w:num w:numId="24">
    <w:abstractNumId w:val="31"/>
  </w:num>
  <w:num w:numId="25">
    <w:abstractNumId w:val="2"/>
  </w:num>
  <w:num w:numId="26">
    <w:abstractNumId w:val="17"/>
  </w:num>
  <w:num w:numId="27">
    <w:abstractNumId w:val="1"/>
  </w:num>
  <w:num w:numId="28">
    <w:abstractNumId w:val="25"/>
  </w:num>
  <w:num w:numId="29">
    <w:abstractNumId w:val="30"/>
  </w:num>
  <w:num w:numId="30">
    <w:abstractNumId w:val="13"/>
  </w:num>
  <w:num w:numId="31">
    <w:abstractNumId w:val="32"/>
  </w:num>
  <w:num w:numId="32">
    <w:abstractNumId w:val="26"/>
  </w:num>
  <w:num w:numId="33">
    <w:abstractNumId w:val="3"/>
  </w:num>
  <w:num w:numId="34">
    <w:abstractNumId w:val="8"/>
  </w:num>
  <w:num w:numId="35">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1"/>
    <w:footnote w:id="0"/>
  </w:footnotePr>
  <w:endnotePr>
    <w:endnote w:id="-1"/>
    <w:endnote w:id="0"/>
  </w:endnotePr>
  <w:compat/>
  <w:rsids>
    <w:rsidRoot w:val="00B44B24"/>
    <w:rsid w:val="00011AD5"/>
    <w:rsid w:val="00012963"/>
    <w:rsid w:val="000177F8"/>
    <w:rsid w:val="00017CB2"/>
    <w:rsid w:val="00021BA2"/>
    <w:rsid w:val="000324A9"/>
    <w:rsid w:val="000448A6"/>
    <w:rsid w:val="00046F4C"/>
    <w:rsid w:val="00050DD0"/>
    <w:rsid w:val="00053DB1"/>
    <w:rsid w:val="00054900"/>
    <w:rsid w:val="00060041"/>
    <w:rsid w:val="00062ACB"/>
    <w:rsid w:val="000640F1"/>
    <w:rsid w:val="00077F38"/>
    <w:rsid w:val="00084EE8"/>
    <w:rsid w:val="00087F39"/>
    <w:rsid w:val="0009401B"/>
    <w:rsid w:val="00095230"/>
    <w:rsid w:val="00097332"/>
    <w:rsid w:val="000A2881"/>
    <w:rsid w:val="000A4E0C"/>
    <w:rsid w:val="000B14AF"/>
    <w:rsid w:val="000B182C"/>
    <w:rsid w:val="000B5296"/>
    <w:rsid w:val="000B5B8B"/>
    <w:rsid w:val="000B6C2E"/>
    <w:rsid w:val="000B743C"/>
    <w:rsid w:val="000C0BC7"/>
    <w:rsid w:val="000D2B9C"/>
    <w:rsid w:val="000E1F87"/>
    <w:rsid w:val="000E3439"/>
    <w:rsid w:val="000E540A"/>
    <w:rsid w:val="000F0173"/>
    <w:rsid w:val="000F179E"/>
    <w:rsid w:val="00103A62"/>
    <w:rsid w:val="00117B04"/>
    <w:rsid w:val="00132FAD"/>
    <w:rsid w:val="0013459E"/>
    <w:rsid w:val="00137B9D"/>
    <w:rsid w:val="001402C5"/>
    <w:rsid w:val="0014128B"/>
    <w:rsid w:val="00146A37"/>
    <w:rsid w:val="00156AE2"/>
    <w:rsid w:val="00162A45"/>
    <w:rsid w:val="001647F0"/>
    <w:rsid w:val="0017045D"/>
    <w:rsid w:val="00182859"/>
    <w:rsid w:val="00182CEE"/>
    <w:rsid w:val="00184BAB"/>
    <w:rsid w:val="00185737"/>
    <w:rsid w:val="001915D0"/>
    <w:rsid w:val="00195D48"/>
    <w:rsid w:val="001A011A"/>
    <w:rsid w:val="001A3FC2"/>
    <w:rsid w:val="001A4203"/>
    <w:rsid w:val="001A5F7E"/>
    <w:rsid w:val="001A73FD"/>
    <w:rsid w:val="001B072B"/>
    <w:rsid w:val="001B0C91"/>
    <w:rsid w:val="001B1735"/>
    <w:rsid w:val="001B518E"/>
    <w:rsid w:val="001B7660"/>
    <w:rsid w:val="001C22DD"/>
    <w:rsid w:val="001C23F0"/>
    <w:rsid w:val="001C52B4"/>
    <w:rsid w:val="001C56F7"/>
    <w:rsid w:val="001D6D9C"/>
    <w:rsid w:val="001E14A5"/>
    <w:rsid w:val="001E1CE6"/>
    <w:rsid w:val="001E2C16"/>
    <w:rsid w:val="001E744C"/>
    <w:rsid w:val="001F2113"/>
    <w:rsid w:val="001F3189"/>
    <w:rsid w:val="001F60AD"/>
    <w:rsid w:val="002009FF"/>
    <w:rsid w:val="00207D14"/>
    <w:rsid w:val="00211A6E"/>
    <w:rsid w:val="00215CD2"/>
    <w:rsid w:val="002240D2"/>
    <w:rsid w:val="00224FD6"/>
    <w:rsid w:val="00226878"/>
    <w:rsid w:val="00227780"/>
    <w:rsid w:val="00231C81"/>
    <w:rsid w:val="002332E1"/>
    <w:rsid w:val="0024425D"/>
    <w:rsid w:val="00245FDF"/>
    <w:rsid w:val="002534D4"/>
    <w:rsid w:val="00271C29"/>
    <w:rsid w:val="002754E6"/>
    <w:rsid w:val="00275FD3"/>
    <w:rsid w:val="002800F6"/>
    <w:rsid w:val="00290A5C"/>
    <w:rsid w:val="00297B4A"/>
    <w:rsid w:val="002B738B"/>
    <w:rsid w:val="002C2A85"/>
    <w:rsid w:val="002D037F"/>
    <w:rsid w:val="002D66EA"/>
    <w:rsid w:val="002E5BBB"/>
    <w:rsid w:val="002E5CEB"/>
    <w:rsid w:val="002E7399"/>
    <w:rsid w:val="002F11DE"/>
    <w:rsid w:val="002F31EE"/>
    <w:rsid w:val="00301ED5"/>
    <w:rsid w:val="00304141"/>
    <w:rsid w:val="00304174"/>
    <w:rsid w:val="00306E45"/>
    <w:rsid w:val="003071E3"/>
    <w:rsid w:val="003263F0"/>
    <w:rsid w:val="00326753"/>
    <w:rsid w:val="00331A84"/>
    <w:rsid w:val="00334FBF"/>
    <w:rsid w:val="003350F6"/>
    <w:rsid w:val="00337F7D"/>
    <w:rsid w:val="003507E0"/>
    <w:rsid w:val="003545DD"/>
    <w:rsid w:val="00354694"/>
    <w:rsid w:val="00357987"/>
    <w:rsid w:val="003614EF"/>
    <w:rsid w:val="00367B3C"/>
    <w:rsid w:val="00375B0A"/>
    <w:rsid w:val="0038156B"/>
    <w:rsid w:val="00382014"/>
    <w:rsid w:val="00383156"/>
    <w:rsid w:val="00383D56"/>
    <w:rsid w:val="0038490C"/>
    <w:rsid w:val="003910BE"/>
    <w:rsid w:val="0039382C"/>
    <w:rsid w:val="00395D30"/>
    <w:rsid w:val="003A6DCA"/>
    <w:rsid w:val="003B108B"/>
    <w:rsid w:val="003B1245"/>
    <w:rsid w:val="003B1A2C"/>
    <w:rsid w:val="003B62F2"/>
    <w:rsid w:val="003C003D"/>
    <w:rsid w:val="003C0F69"/>
    <w:rsid w:val="003C26E8"/>
    <w:rsid w:val="003C3D06"/>
    <w:rsid w:val="003C4728"/>
    <w:rsid w:val="003C70CD"/>
    <w:rsid w:val="003C7294"/>
    <w:rsid w:val="003D64DE"/>
    <w:rsid w:val="003D7277"/>
    <w:rsid w:val="003D7B3A"/>
    <w:rsid w:val="003E42E6"/>
    <w:rsid w:val="003F0BA3"/>
    <w:rsid w:val="003F3CAD"/>
    <w:rsid w:val="004015AC"/>
    <w:rsid w:val="004053B7"/>
    <w:rsid w:val="00405897"/>
    <w:rsid w:val="0041049D"/>
    <w:rsid w:val="00410E55"/>
    <w:rsid w:val="00411453"/>
    <w:rsid w:val="00415144"/>
    <w:rsid w:val="004177F8"/>
    <w:rsid w:val="004207E5"/>
    <w:rsid w:val="00424164"/>
    <w:rsid w:val="0043122A"/>
    <w:rsid w:val="004344EF"/>
    <w:rsid w:val="004354A1"/>
    <w:rsid w:val="00441D54"/>
    <w:rsid w:val="00447F7D"/>
    <w:rsid w:val="00450BDD"/>
    <w:rsid w:val="0045536D"/>
    <w:rsid w:val="00472A55"/>
    <w:rsid w:val="0047612E"/>
    <w:rsid w:val="00477349"/>
    <w:rsid w:val="00480C41"/>
    <w:rsid w:val="004817D6"/>
    <w:rsid w:val="00484836"/>
    <w:rsid w:val="0048494E"/>
    <w:rsid w:val="00485B1C"/>
    <w:rsid w:val="00491166"/>
    <w:rsid w:val="00491D62"/>
    <w:rsid w:val="00493067"/>
    <w:rsid w:val="004A408A"/>
    <w:rsid w:val="004A6479"/>
    <w:rsid w:val="004B049F"/>
    <w:rsid w:val="004B1D8B"/>
    <w:rsid w:val="004B4727"/>
    <w:rsid w:val="004C2AF3"/>
    <w:rsid w:val="004C4E6E"/>
    <w:rsid w:val="004C7B93"/>
    <w:rsid w:val="004C7CEF"/>
    <w:rsid w:val="004E296A"/>
    <w:rsid w:val="004E4958"/>
    <w:rsid w:val="004E51E7"/>
    <w:rsid w:val="004E7BE7"/>
    <w:rsid w:val="004F036D"/>
    <w:rsid w:val="004F2974"/>
    <w:rsid w:val="004F7682"/>
    <w:rsid w:val="00503AB9"/>
    <w:rsid w:val="00503C88"/>
    <w:rsid w:val="0050516B"/>
    <w:rsid w:val="005060E5"/>
    <w:rsid w:val="005156A5"/>
    <w:rsid w:val="00523088"/>
    <w:rsid w:val="00535A7A"/>
    <w:rsid w:val="005429AE"/>
    <w:rsid w:val="0054310D"/>
    <w:rsid w:val="00544DC4"/>
    <w:rsid w:val="0056358F"/>
    <w:rsid w:val="00567BA8"/>
    <w:rsid w:val="0057483A"/>
    <w:rsid w:val="00576D5D"/>
    <w:rsid w:val="005771EB"/>
    <w:rsid w:val="005774E2"/>
    <w:rsid w:val="0059457A"/>
    <w:rsid w:val="00594829"/>
    <w:rsid w:val="00595837"/>
    <w:rsid w:val="005A2BA6"/>
    <w:rsid w:val="005A4EBC"/>
    <w:rsid w:val="005A5CD7"/>
    <w:rsid w:val="005A5D6D"/>
    <w:rsid w:val="005B6980"/>
    <w:rsid w:val="005C04C0"/>
    <w:rsid w:val="005D0C86"/>
    <w:rsid w:val="005D1842"/>
    <w:rsid w:val="005D19CA"/>
    <w:rsid w:val="005D317F"/>
    <w:rsid w:val="005D3F33"/>
    <w:rsid w:val="005D403A"/>
    <w:rsid w:val="005D6ADC"/>
    <w:rsid w:val="005F010A"/>
    <w:rsid w:val="005F40E0"/>
    <w:rsid w:val="0060205A"/>
    <w:rsid w:val="00602104"/>
    <w:rsid w:val="00604E5E"/>
    <w:rsid w:val="00607A2F"/>
    <w:rsid w:val="00612A4F"/>
    <w:rsid w:val="00614F14"/>
    <w:rsid w:val="00617EAB"/>
    <w:rsid w:val="006265CD"/>
    <w:rsid w:val="00627F18"/>
    <w:rsid w:val="00632753"/>
    <w:rsid w:val="00634533"/>
    <w:rsid w:val="00634647"/>
    <w:rsid w:val="006378AA"/>
    <w:rsid w:val="00645BD6"/>
    <w:rsid w:val="00646026"/>
    <w:rsid w:val="006543DB"/>
    <w:rsid w:val="00661594"/>
    <w:rsid w:val="00662F27"/>
    <w:rsid w:val="00667192"/>
    <w:rsid w:val="0067135F"/>
    <w:rsid w:val="00672554"/>
    <w:rsid w:val="00683139"/>
    <w:rsid w:val="006937AB"/>
    <w:rsid w:val="006A01C9"/>
    <w:rsid w:val="006A6290"/>
    <w:rsid w:val="006A774C"/>
    <w:rsid w:val="006B3026"/>
    <w:rsid w:val="006C1FAF"/>
    <w:rsid w:val="006C5447"/>
    <w:rsid w:val="006C6E67"/>
    <w:rsid w:val="006D4095"/>
    <w:rsid w:val="006D5256"/>
    <w:rsid w:val="006D72B1"/>
    <w:rsid w:val="006E5ACE"/>
    <w:rsid w:val="006E5EEC"/>
    <w:rsid w:val="006E6A83"/>
    <w:rsid w:val="006F61C2"/>
    <w:rsid w:val="007063E4"/>
    <w:rsid w:val="0070698C"/>
    <w:rsid w:val="00714108"/>
    <w:rsid w:val="00716CD5"/>
    <w:rsid w:val="0072009C"/>
    <w:rsid w:val="0072014C"/>
    <w:rsid w:val="00734A99"/>
    <w:rsid w:val="007400EC"/>
    <w:rsid w:val="007447E5"/>
    <w:rsid w:val="0074532F"/>
    <w:rsid w:val="00745513"/>
    <w:rsid w:val="00747A44"/>
    <w:rsid w:val="007514D0"/>
    <w:rsid w:val="007549B4"/>
    <w:rsid w:val="00755667"/>
    <w:rsid w:val="0075700E"/>
    <w:rsid w:val="00760BFB"/>
    <w:rsid w:val="007619C5"/>
    <w:rsid w:val="00763BAE"/>
    <w:rsid w:val="007665AB"/>
    <w:rsid w:val="00773BDE"/>
    <w:rsid w:val="00773E0D"/>
    <w:rsid w:val="007761CB"/>
    <w:rsid w:val="007804E7"/>
    <w:rsid w:val="0078114E"/>
    <w:rsid w:val="007816CD"/>
    <w:rsid w:val="00782074"/>
    <w:rsid w:val="0078672E"/>
    <w:rsid w:val="007A2DA7"/>
    <w:rsid w:val="007A7BF8"/>
    <w:rsid w:val="007B4A97"/>
    <w:rsid w:val="007B618A"/>
    <w:rsid w:val="007C39E1"/>
    <w:rsid w:val="007D4824"/>
    <w:rsid w:val="007D4E6E"/>
    <w:rsid w:val="007E4F25"/>
    <w:rsid w:val="007E5C67"/>
    <w:rsid w:val="007F4852"/>
    <w:rsid w:val="007F4DF0"/>
    <w:rsid w:val="007F5380"/>
    <w:rsid w:val="008225D2"/>
    <w:rsid w:val="00822D40"/>
    <w:rsid w:val="00830912"/>
    <w:rsid w:val="00833AB6"/>
    <w:rsid w:val="008407E4"/>
    <w:rsid w:val="008420E9"/>
    <w:rsid w:val="00856A35"/>
    <w:rsid w:val="00860B95"/>
    <w:rsid w:val="008620A5"/>
    <w:rsid w:val="00862289"/>
    <w:rsid w:val="0086438F"/>
    <w:rsid w:val="00865AB8"/>
    <w:rsid w:val="0087351E"/>
    <w:rsid w:val="00874FCC"/>
    <w:rsid w:val="008756CC"/>
    <w:rsid w:val="00876643"/>
    <w:rsid w:val="00894AD6"/>
    <w:rsid w:val="00895E49"/>
    <w:rsid w:val="00897EDA"/>
    <w:rsid w:val="008A5404"/>
    <w:rsid w:val="008A5B12"/>
    <w:rsid w:val="008A5D9B"/>
    <w:rsid w:val="008B662E"/>
    <w:rsid w:val="008B6A31"/>
    <w:rsid w:val="008B7DAC"/>
    <w:rsid w:val="008C3295"/>
    <w:rsid w:val="008C5473"/>
    <w:rsid w:val="008D3CD2"/>
    <w:rsid w:val="008E47D8"/>
    <w:rsid w:val="008E4A1D"/>
    <w:rsid w:val="008E6FFC"/>
    <w:rsid w:val="008F46C6"/>
    <w:rsid w:val="008F5174"/>
    <w:rsid w:val="008F7293"/>
    <w:rsid w:val="0090310A"/>
    <w:rsid w:val="00904736"/>
    <w:rsid w:val="009075C1"/>
    <w:rsid w:val="00914943"/>
    <w:rsid w:val="00930430"/>
    <w:rsid w:val="0093360C"/>
    <w:rsid w:val="00933C42"/>
    <w:rsid w:val="009341DC"/>
    <w:rsid w:val="00934FC3"/>
    <w:rsid w:val="009437F6"/>
    <w:rsid w:val="00951303"/>
    <w:rsid w:val="00952DD0"/>
    <w:rsid w:val="00982EAF"/>
    <w:rsid w:val="00987562"/>
    <w:rsid w:val="00991BEF"/>
    <w:rsid w:val="009A07DA"/>
    <w:rsid w:val="009A176E"/>
    <w:rsid w:val="009A49A4"/>
    <w:rsid w:val="009B1009"/>
    <w:rsid w:val="009B4327"/>
    <w:rsid w:val="009B5E60"/>
    <w:rsid w:val="009B7075"/>
    <w:rsid w:val="009B7663"/>
    <w:rsid w:val="009C1450"/>
    <w:rsid w:val="009C1536"/>
    <w:rsid w:val="009C626B"/>
    <w:rsid w:val="009C7378"/>
    <w:rsid w:val="009D142F"/>
    <w:rsid w:val="009E140E"/>
    <w:rsid w:val="009E3463"/>
    <w:rsid w:val="009E4244"/>
    <w:rsid w:val="009E45FC"/>
    <w:rsid w:val="009E5768"/>
    <w:rsid w:val="00A02FE1"/>
    <w:rsid w:val="00A03530"/>
    <w:rsid w:val="00A04B3F"/>
    <w:rsid w:val="00A06883"/>
    <w:rsid w:val="00A173B2"/>
    <w:rsid w:val="00A17BB7"/>
    <w:rsid w:val="00A276E8"/>
    <w:rsid w:val="00A405AF"/>
    <w:rsid w:val="00A53164"/>
    <w:rsid w:val="00A53973"/>
    <w:rsid w:val="00A53ED8"/>
    <w:rsid w:val="00A647EF"/>
    <w:rsid w:val="00A75275"/>
    <w:rsid w:val="00A77379"/>
    <w:rsid w:val="00A830D6"/>
    <w:rsid w:val="00A90C9D"/>
    <w:rsid w:val="00A93EA6"/>
    <w:rsid w:val="00AA1C96"/>
    <w:rsid w:val="00AA2795"/>
    <w:rsid w:val="00AB1328"/>
    <w:rsid w:val="00AB3B1D"/>
    <w:rsid w:val="00AB5514"/>
    <w:rsid w:val="00AC4F21"/>
    <w:rsid w:val="00AC563B"/>
    <w:rsid w:val="00AD3146"/>
    <w:rsid w:val="00AD530B"/>
    <w:rsid w:val="00AE023F"/>
    <w:rsid w:val="00AE2501"/>
    <w:rsid w:val="00AE6480"/>
    <w:rsid w:val="00AE7B2F"/>
    <w:rsid w:val="00B00A4E"/>
    <w:rsid w:val="00B00CA9"/>
    <w:rsid w:val="00B02DC7"/>
    <w:rsid w:val="00B07490"/>
    <w:rsid w:val="00B108E5"/>
    <w:rsid w:val="00B1766A"/>
    <w:rsid w:val="00B20043"/>
    <w:rsid w:val="00B21D90"/>
    <w:rsid w:val="00B4401A"/>
    <w:rsid w:val="00B44B24"/>
    <w:rsid w:val="00B45F28"/>
    <w:rsid w:val="00B61A7E"/>
    <w:rsid w:val="00B6649A"/>
    <w:rsid w:val="00B704D0"/>
    <w:rsid w:val="00B746B4"/>
    <w:rsid w:val="00B854DD"/>
    <w:rsid w:val="00B96496"/>
    <w:rsid w:val="00B9721E"/>
    <w:rsid w:val="00BA4AA0"/>
    <w:rsid w:val="00BB357D"/>
    <w:rsid w:val="00BB493C"/>
    <w:rsid w:val="00BB4E44"/>
    <w:rsid w:val="00BB6AD9"/>
    <w:rsid w:val="00BC3351"/>
    <w:rsid w:val="00BC3D60"/>
    <w:rsid w:val="00BD049F"/>
    <w:rsid w:val="00BD5621"/>
    <w:rsid w:val="00BD6F3D"/>
    <w:rsid w:val="00BE6435"/>
    <w:rsid w:val="00BE6E1D"/>
    <w:rsid w:val="00BE6E76"/>
    <w:rsid w:val="00BE79B3"/>
    <w:rsid w:val="00BF0487"/>
    <w:rsid w:val="00BF1EBD"/>
    <w:rsid w:val="00BF4AC7"/>
    <w:rsid w:val="00C213D8"/>
    <w:rsid w:val="00C243EB"/>
    <w:rsid w:val="00C33805"/>
    <w:rsid w:val="00C348CC"/>
    <w:rsid w:val="00C400B7"/>
    <w:rsid w:val="00C43FCE"/>
    <w:rsid w:val="00C44888"/>
    <w:rsid w:val="00C4761D"/>
    <w:rsid w:val="00C52918"/>
    <w:rsid w:val="00C62D25"/>
    <w:rsid w:val="00C63582"/>
    <w:rsid w:val="00C77921"/>
    <w:rsid w:val="00C77B41"/>
    <w:rsid w:val="00C77E81"/>
    <w:rsid w:val="00C86D4C"/>
    <w:rsid w:val="00C9129E"/>
    <w:rsid w:val="00C967FD"/>
    <w:rsid w:val="00CA01F2"/>
    <w:rsid w:val="00CA0A96"/>
    <w:rsid w:val="00CA0E66"/>
    <w:rsid w:val="00CA0FC3"/>
    <w:rsid w:val="00CA2FF7"/>
    <w:rsid w:val="00CA3BE6"/>
    <w:rsid w:val="00CA523A"/>
    <w:rsid w:val="00CA5FF6"/>
    <w:rsid w:val="00CB0E8E"/>
    <w:rsid w:val="00CB18F1"/>
    <w:rsid w:val="00CB1D9C"/>
    <w:rsid w:val="00CB5EEE"/>
    <w:rsid w:val="00CC1BC5"/>
    <w:rsid w:val="00CC6AA3"/>
    <w:rsid w:val="00CC74EE"/>
    <w:rsid w:val="00CC7A7B"/>
    <w:rsid w:val="00CD08C8"/>
    <w:rsid w:val="00CD41CD"/>
    <w:rsid w:val="00CE21A3"/>
    <w:rsid w:val="00CE29B0"/>
    <w:rsid w:val="00CE59C3"/>
    <w:rsid w:val="00D01CB5"/>
    <w:rsid w:val="00D0488D"/>
    <w:rsid w:val="00D06247"/>
    <w:rsid w:val="00D14B23"/>
    <w:rsid w:val="00D150AE"/>
    <w:rsid w:val="00D16B9C"/>
    <w:rsid w:val="00D22063"/>
    <w:rsid w:val="00D22681"/>
    <w:rsid w:val="00D261CB"/>
    <w:rsid w:val="00D27765"/>
    <w:rsid w:val="00D3370F"/>
    <w:rsid w:val="00D3695B"/>
    <w:rsid w:val="00D4325C"/>
    <w:rsid w:val="00D53E82"/>
    <w:rsid w:val="00D54E4D"/>
    <w:rsid w:val="00D614CB"/>
    <w:rsid w:val="00D638D7"/>
    <w:rsid w:val="00D63F5A"/>
    <w:rsid w:val="00D75A3A"/>
    <w:rsid w:val="00D76396"/>
    <w:rsid w:val="00D83628"/>
    <w:rsid w:val="00D8533C"/>
    <w:rsid w:val="00D87871"/>
    <w:rsid w:val="00D96552"/>
    <w:rsid w:val="00DA11A0"/>
    <w:rsid w:val="00DB010F"/>
    <w:rsid w:val="00DB5811"/>
    <w:rsid w:val="00DB7AE6"/>
    <w:rsid w:val="00DC1B77"/>
    <w:rsid w:val="00DE7489"/>
    <w:rsid w:val="00DF3243"/>
    <w:rsid w:val="00DF4387"/>
    <w:rsid w:val="00DF693A"/>
    <w:rsid w:val="00E1635F"/>
    <w:rsid w:val="00E36CCC"/>
    <w:rsid w:val="00E455FB"/>
    <w:rsid w:val="00E60339"/>
    <w:rsid w:val="00E62479"/>
    <w:rsid w:val="00E768AF"/>
    <w:rsid w:val="00E813C0"/>
    <w:rsid w:val="00E84903"/>
    <w:rsid w:val="00E863A5"/>
    <w:rsid w:val="00E8764A"/>
    <w:rsid w:val="00E94BD3"/>
    <w:rsid w:val="00EA309D"/>
    <w:rsid w:val="00EA4130"/>
    <w:rsid w:val="00EA4BC2"/>
    <w:rsid w:val="00EB1933"/>
    <w:rsid w:val="00EC2247"/>
    <w:rsid w:val="00EC3967"/>
    <w:rsid w:val="00EC7561"/>
    <w:rsid w:val="00ED2BCF"/>
    <w:rsid w:val="00ED4DFB"/>
    <w:rsid w:val="00EE6CA1"/>
    <w:rsid w:val="00EF1937"/>
    <w:rsid w:val="00EF2223"/>
    <w:rsid w:val="00EF38FE"/>
    <w:rsid w:val="00EF3900"/>
    <w:rsid w:val="00EF5A45"/>
    <w:rsid w:val="00F12F41"/>
    <w:rsid w:val="00F14DC1"/>
    <w:rsid w:val="00F1589A"/>
    <w:rsid w:val="00F22177"/>
    <w:rsid w:val="00F24E6F"/>
    <w:rsid w:val="00F3262A"/>
    <w:rsid w:val="00F326DE"/>
    <w:rsid w:val="00F32A7F"/>
    <w:rsid w:val="00F331E6"/>
    <w:rsid w:val="00F3775C"/>
    <w:rsid w:val="00F40748"/>
    <w:rsid w:val="00F435FD"/>
    <w:rsid w:val="00F54F62"/>
    <w:rsid w:val="00F559C5"/>
    <w:rsid w:val="00F57DF6"/>
    <w:rsid w:val="00F65221"/>
    <w:rsid w:val="00F7093D"/>
    <w:rsid w:val="00F75ED7"/>
    <w:rsid w:val="00F8019A"/>
    <w:rsid w:val="00F8095C"/>
    <w:rsid w:val="00F928EC"/>
    <w:rsid w:val="00F97FF2"/>
    <w:rsid w:val="00FA484C"/>
    <w:rsid w:val="00FA4EC1"/>
    <w:rsid w:val="00FA5AAD"/>
    <w:rsid w:val="00FB517B"/>
    <w:rsid w:val="00FD0D00"/>
    <w:rsid w:val="00FD2F3A"/>
    <w:rsid w:val="00FD5AA1"/>
    <w:rsid w:val="00FD5BD8"/>
    <w:rsid w:val="00FD6C80"/>
    <w:rsid w:val="00FE3D13"/>
    <w:rsid w:val="00FE4420"/>
    <w:rsid w:val="00FE72F6"/>
    <w:rsid w:val="00FE7C45"/>
    <w:rsid w:val="00FF125C"/>
    <w:rsid w:val="00FF4F1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3" type="connector" idref="#_x0000_s1057"/>
        <o:r id="V:Rule4"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549B4"/>
    <w:rPr>
      <w:rFonts w:ascii="Calibri" w:hAnsi="Calibri"/>
      <w:sz w:val="24"/>
      <w:szCs w:val="24"/>
      <w:lang w:val="es-ES" w:eastAsia="es-ES"/>
    </w:rPr>
  </w:style>
  <w:style w:type="paragraph" w:styleId="Ttulo1">
    <w:name w:val="heading 1"/>
    <w:basedOn w:val="Normal"/>
    <w:link w:val="Ttulo1Car"/>
    <w:uiPriority w:val="99"/>
    <w:qFormat/>
    <w:rsid w:val="007B618A"/>
    <w:pPr>
      <w:spacing w:before="50" w:after="80"/>
      <w:outlineLvl w:val="0"/>
    </w:pPr>
    <w:rPr>
      <w:rFonts w:ascii="Cambria" w:hAnsi="Cambria"/>
      <w:b/>
      <w:color w:val="000000"/>
      <w:spacing w:val="-10"/>
      <w:kern w:val="36"/>
      <w:sz w:val="36"/>
      <w:szCs w:val="26"/>
    </w:rPr>
  </w:style>
  <w:style w:type="paragraph" w:styleId="Ttulo2">
    <w:name w:val="heading 2"/>
    <w:basedOn w:val="Normal"/>
    <w:next w:val="Normal"/>
    <w:link w:val="Ttulo2Car"/>
    <w:autoRedefine/>
    <w:uiPriority w:val="99"/>
    <w:qFormat/>
    <w:rsid w:val="00B1766A"/>
    <w:pPr>
      <w:spacing w:before="320" w:line="276" w:lineRule="auto"/>
      <w:outlineLvl w:val="1"/>
    </w:pPr>
    <w:rPr>
      <w:rFonts w:ascii="Cambria" w:hAnsi="Cambria"/>
      <w:b/>
      <w:bCs/>
      <w:iCs/>
      <w:sz w:val="32"/>
      <w:szCs w:val="28"/>
      <w:lang w:val="es-MX" w:eastAsia="es-MX"/>
    </w:rPr>
  </w:style>
  <w:style w:type="paragraph" w:styleId="Ttulo3">
    <w:name w:val="heading 3"/>
    <w:basedOn w:val="Normal"/>
    <w:next w:val="Normal"/>
    <w:link w:val="Ttulo3Car"/>
    <w:autoRedefine/>
    <w:uiPriority w:val="99"/>
    <w:qFormat/>
    <w:rsid w:val="00D53E82"/>
    <w:pPr>
      <w:spacing w:before="320" w:line="360" w:lineRule="auto"/>
      <w:jc w:val="center"/>
      <w:outlineLvl w:val="2"/>
    </w:pPr>
    <w:rPr>
      <w:rFonts w:ascii="Arial" w:hAnsi="Arial" w:cs="Arial"/>
      <w:b/>
      <w:iCs/>
      <w:sz w:val="28"/>
      <w:szCs w:val="26"/>
      <w:lang w:val="es-MX" w:eastAsia="es-MX"/>
    </w:rPr>
  </w:style>
  <w:style w:type="paragraph" w:styleId="Ttulo4">
    <w:name w:val="heading 4"/>
    <w:basedOn w:val="Normal"/>
    <w:next w:val="Normal"/>
    <w:link w:val="Ttulo4Car"/>
    <w:uiPriority w:val="99"/>
    <w:qFormat/>
    <w:rsid w:val="00012963"/>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9"/>
    <w:qFormat/>
    <w:rsid w:val="00012963"/>
    <w:pPr>
      <w:autoSpaceDE w:val="0"/>
      <w:autoSpaceDN w:val="0"/>
      <w:adjustRightInd w:val="0"/>
      <w:ind w:left="1260" w:hanging="180"/>
      <w:outlineLvl w:val="4"/>
    </w:pPr>
    <w:rPr>
      <w:rFonts w:ascii="Tahoma" w:hAnsi="Tahoma" w:cs="Tahoma"/>
      <w:sz w:val="18"/>
      <w:szCs w:val="18"/>
    </w:rPr>
  </w:style>
  <w:style w:type="paragraph" w:styleId="Ttulo6">
    <w:name w:val="heading 6"/>
    <w:basedOn w:val="Normal"/>
    <w:next w:val="Normal"/>
    <w:link w:val="Ttulo6Car"/>
    <w:uiPriority w:val="99"/>
    <w:qFormat/>
    <w:rsid w:val="00012963"/>
    <w:pPr>
      <w:autoSpaceDE w:val="0"/>
      <w:autoSpaceDN w:val="0"/>
      <w:adjustRightInd w:val="0"/>
      <w:ind w:left="1620" w:hanging="180"/>
      <w:outlineLvl w:val="5"/>
    </w:pPr>
    <w:rPr>
      <w:rFonts w:ascii="Tahoma" w:hAnsi="Tahoma" w:cs="Tahoma"/>
      <w:sz w:val="18"/>
      <w:szCs w:val="18"/>
    </w:rPr>
  </w:style>
  <w:style w:type="paragraph" w:styleId="Ttulo7">
    <w:name w:val="heading 7"/>
    <w:basedOn w:val="Normal"/>
    <w:next w:val="Normal"/>
    <w:link w:val="Ttulo7Car"/>
    <w:uiPriority w:val="99"/>
    <w:qFormat/>
    <w:rsid w:val="00A276E8"/>
    <w:pPr>
      <w:spacing w:before="240" w:after="60"/>
      <w:outlineLvl w:val="6"/>
    </w:pPr>
  </w:style>
  <w:style w:type="paragraph" w:styleId="Ttulo8">
    <w:name w:val="heading 8"/>
    <w:basedOn w:val="Normal"/>
    <w:next w:val="Normal"/>
    <w:link w:val="Ttulo8Car"/>
    <w:uiPriority w:val="99"/>
    <w:qFormat/>
    <w:rsid w:val="00D53E82"/>
    <w:pPr>
      <w:keepNext/>
      <w:keepLines/>
      <w:spacing w:before="200"/>
      <w:outlineLvl w:val="7"/>
    </w:pPr>
    <w:rPr>
      <w:rFonts w:ascii="Cambria" w:hAnsi="Cambria"/>
      <w:color w:val="404040"/>
      <w:sz w:val="20"/>
      <w:szCs w:val="20"/>
    </w:rPr>
  </w:style>
  <w:style w:type="paragraph" w:styleId="Ttulo9">
    <w:name w:val="heading 9"/>
    <w:basedOn w:val="Normal"/>
    <w:next w:val="Normal"/>
    <w:link w:val="Ttulo9Car"/>
    <w:uiPriority w:val="99"/>
    <w:qFormat/>
    <w:rsid w:val="00D53E82"/>
    <w:pPr>
      <w:keepNext/>
      <w:keepLines/>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B618A"/>
    <w:rPr>
      <w:rFonts w:ascii="Cambria" w:hAnsi="Cambria" w:cs="Times New Roman"/>
      <w:b/>
      <w:color w:val="000000"/>
      <w:spacing w:val="-10"/>
      <w:kern w:val="36"/>
      <w:sz w:val="26"/>
      <w:szCs w:val="26"/>
      <w:lang w:val="es-ES" w:eastAsia="es-ES"/>
    </w:rPr>
  </w:style>
  <w:style w:type="character" w:customStyle="1" w:styleId="Ttulo2Car">
    <w:name w:val="Título 2 Car"/>
    <w:basedOn w:val="Fuentedeprrafopredeter"/>
    <w:link w:val="Ttulo2"/>
    <w:uiPriority w:val="99"/>
    <w:locked/>
    <w:rsid w:val="00B1766A"/>
    <w:rPr>
      <w:rFonts w:ascii="Cambria" w:hAnsi="Cambria" w:cs="Times New Roman"/>
      <w:b/>
      <w:bCs/>
      <w:iCs/>
      <w:sz w:val="28"/>
      <w:szCs w:val="28"/>
    </w:rPr>
  </w:style>
  <w:style w:type="character" w:customStyle="1" w:styleId="Ttulo3Car">
    <w:name w:val="Título 3 Car"/>
    <w:basedOn w:val="Fuentedeprrafopredeter"/>
    <w:link w:val="Ttulo3"/>
    <w:uiPriority w:val="99"/>
    <w:locked/>
    <w:rsid w:val="00D53E82"/>
    <w:rPr>
      <w:rFonts w:ascii="Arial" w:hAnsi="Arial" w:cs="Arial"/>
      <w:b/>
      <w:iCs/>
      <w:sz w:val="26"/>
      <w:szCs w:val="26"/>
    </w:rPr>
  </w:style>
  <w:style w:type="character" w:customStyle="1" w:styleId="Ttulo4Car">
    <w:name w:val="Título 4 Car"/>
    <w:basedOn w:val="Fuentedeprrafopredeter"/>
    <w:link w:val="Ttulo4"/>
    <w:uiPriority w:val="99"/>
    <w:locked/>
    <w:rsid w:val="00012963"/>
    <w:rPr>
      <w:rFonts w:ascii="Cambria" w:hAnsi="Cambria" w:cs="Times New Roman"/>
      <w:b/>
      <w:bCs/>
      <w:i/>
      <w:iCs/>
      <w:color w:val="4F81BD"/>
      <w:sz w:val="24"/>
      <w:lang w:val="en-US" w:eastAsia="en-US"/>
    </w:rPr>
  </w:style>
  <w:style w:type="character" w:customStyle="1" w:styleId="Ttulo5Car">
    <w:name w:val="Título 5 Car"/>
    <w:basedOn w:val="Fuentedeprrafopredeter"/>
    <w:link w:val="Ttulo5"/>
    <w:uiPriority w:val="99"/>
    <w:locked/>
    <w:rsid w:val="00012963"/>
    <w:rPr>
      <w:rFonts w:ascii="Tahoma" w:hAnsi="Tahoma" w:cs="Tahoma"/>
      <w:sz w:val="18"/>
      <w:szCs w:val="18"/>
      <w:lang w:val="es-ES" w:eastAsia="es-ES"/>
    </w:rPr>
  </w:style>
  <w:style w:type="character" w:customStyle="1" w:styleId="Ttulo6Car">
    <w:name w:val="Título 6 Car"/>
    <w:basedOn w:val="Fuentedeprrafopredeter"/>
    <w:link w:val="Ttulo6"/>
    <w:uiPriority w:val="99"/>
    <w:locked/>
    <w:rsid w:val="00012963"/>
    <w:rPr>
      <w:rFonts w:ascii="Tahoma" w:hAnsi="Tahoma" w:cs="Tahoma"/>
      <w:sz w:val="18"/>
      <w:szCs w:val="18"/>
      <w:lang w:val="es-ES" w:eastAsia="es-ES"/>
    </w:rPr>
  </w:style>
  <w:style w:type="character" w:customStyle="1" w:styleId="Ttulo7Car">
    <w:name w:val="Título 7 Car"/>
    <w:basedOn w:val="Fuentedeprrafopredeter"/>
    <w:link w:val="Ttulo7"/>
    <w:uiPriority w:val="99"/>
    <w:locked/>
    <w:rsid w:val="00A276E8"/>
    <w:rPr>
      <w:rFonts w:ascii="Calibri" w:hAnsi="Calibri" w:cs="Times New Roman"/>
      <w:sz w:val="24"/>
      <w:szCs w:val="24"/>
      <w:lang w:val="es-ES" w:eastAsia="es-ES"/>
    </w:rPr>
  </w:style>
  <w:style w:type="character" w:customStyle="1" w:styleId="Ttulo8Car">
    <w:name w:val="Título 8 Car"/>
    <w:basedOn w:val="Fuentedeprrafopredeter"/>
    <w:link w:val="Ttulo8"/>
    <w:uiPriority w:val="99"/>
    <w:semiHidden/>
    <w:locked/>
    <w:rsid w:val="00D53E82"/>
    <w:rPr>
      <w:rFonts w:ascii="Cambria" w:hAnsi="Cambria" w:cs="Times New Roman"/>
      <w:color w:val="404040"/>
      <w:lang w:val="es-ES" w:eastAsia="es-ES"/>
    </w:rPr>
  </w:style>
  <w:style w:type="character" w:customStyle="1" w:styleId="Ttulo9Car">
    <w:name w:val="Título 9 Car"/>
    <w:basedOn w:val="Fuentedeprrafopredeter"/>
    <w:link w:val="Ttulo9"/>
    <w:uiPriority w:val="99"/>
    <w:semiHidden/>
    <w:locked/>
    <w:rsid w:val="00D53E82"/>
    <w:rPr>
      <w:rFonts w:ascii="Cambria" w:hAnsi="Cambria" w:cs="Times New Roman"/>
      <w:i/>
      <w:iCs/>
      <w:color w:val="404040"/>
      <w:lang w:val="es-ES" w:eastAsia="es-ES"/>
    </w:rPr>
  </w:style>
  <w:style w:type="paragraph" w:styleId="Epgrafe">
    <w:name w:val="caption"/>
    <w:basedOn w:val="Normal"/>
    <w:next w:val="Normal"/>
    <w:uiPriority w:val="99"/>
    <w:qFormat/>
    <w:rsid w:val="00012963"/>
    <w:pPr>
      <w:spacing w:after="200"/>
    </w:pPr>
    <w:rPr>
      <w:bCs/>
      <w:sz w:val="22"/>
      <w:szCs w:val="18"/>
      <w:lang w:val="es-MX"/>
    </w:rPr>
  </w:style>
  <w:style w:type="paragraph" w:styleId="Ttulo">
    <w:name w:val="Title"/>
    <w:basedOn w:val="Normal"/>
    <w:link w:val="TtuloCar"/>
    <w:uiPriority w:val="99"/>
    <w:qFormat/>
    <w:rsid w:val="00012963"/>
    <w:rPr>
      <w:b/>
      <w:sz w:val="28"/>
    </w:rPr>
  </w:style>
  <w:style w:type="character" w:customStyle="1" w:styleId="TtuloCar">
    <w:name w:val="Título Car"/>
    <w:basedOn w:val="Fuentedeprrafopredeter"/>
    <w:link w:val="Ttulo"/>
    <w:uiPriority w:val="99"/>
    <w:locked/>
    <w:rsid w:val="00012963"/>
    <w:rPr>
      <w:rFonts w:ascii="Calibri" w:hAnsi="Calibri" w:cs="Times New Roman"/>
      <w:b/>
      <w:sz w:val="28"/>
      <w:lang w:val="en-US" w:eastAsia="en-US"/>
    </w:rPr>
  </w:style>
  <w:style w:type="character" w:styleId="nfasis">
    <w:name w:val="Emphasis"/>
    <w:basedOn w:val="Fuentedeprrafopredeter"/>
    <w:uiPriority w:val="99"/>
    <w:qFormat/>
    <w:rsid w:val="00012963"/>
    <w:rPr>
      <w:rFonts w:cs="Times New Roman"/>
      <w:i/>
      <w:iCs/>
    </w:rPr>
  </w:style>
  <w:style w:type="paragraph" w:styleId="Sinespaciado">
    <w:name w:val="No Spacing"/>
    <w:link w:val="SinespaciadoCar"/>
    <w:uiPriority w:val="99"/>
    <w:qFormat/>
    <w:rsid w:val="00012963"/>
    <w:rPr>
      <w:rFonts w:ascii="Calibri" w:hAnsi="Calibri"/>
    </w:rPr>
  </w:style>
  <w:style w:type="character" w:customStyle="1" w:styleId="SinespaciadoCar">
    <w:name w:val="Sin espaciado Car"/>
    <w:basedOn w:val="Fuentedeprrafopredeter"/>
    <w:link w:val="Sinespaciado"/>
    <w:uiPriority w:val="99"/>
    <w:locked/>
    <w:rsid w:val="00012963"/>
    <w:rPr>
      <w:rFonts w:ascii="Calibri" w:hAnsi="Calibri" w:cs="Times New Roman"/>
      <w:sz w:val="22"/>
      <w:szCs w:val="22"/>
      <w:lang w:val="en-US" w:eastAsia="en-US" w:bidi="ar-SA"/>
    </w:rPr>
  </w:style>
  <w:style w:type="paragraph" w:styleId="Prrafodelista">
    <w:name w:val="List Paragraph"/>
    <w:basedOn w:val="Normal"/>
    <w:uiPriority w:val="34"/>
    <w:qFormat/>
    <w:rsid w:val="00012963"/>
    <w:pPr>
      <w:ind w:left="720"/>
      <w:contextualSpacing/>
    </w:pPr>
  </w:style>
  <w:style w:type="paragraph" w:styleId="TtulodeTDC">
    <w:name w:val="TOC Heading"/>
    <w:basedOn w:val="Ttulo1"/>
    <w:next w:val="Normal"/>
    <w:uiPriority w:val="99"/>
    <w:qFormat/>
    <w:rsid w:val="00012963"/>
    <w:pPr>
      <w:spacing w:line="276" w:lineRule="auto"/>
      <w:outlineLvl w:val="9"/>
    </w:pPr>
    <w:rPr>
      <w:color w:val="365F91"/>
      <w:sz w:val="28"/>
    </w:rPr>
  </w:style>
  <w:style w:type="paragraph" w:styleId="Textodeglobo">
    <w:name w:val="Balloon Text"/>
    <w:basedOn w:val="Normal"/>
    <w:link w:val="TextodegloboCar"/>
    <w:uiPriority w:val="99"/>
    <w:semiHidden/>
    <w:rsid w:val="00B44B24"/>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44B24"/>
    <w:rPr>
      <w:rFonts w:ascii="Tahoma" w:hAnsi="Tahoma" w:cs="Tahoma"/>
      <w:sz w:val="16"/>
      <w:szCs w:val="16"/>
      <w:lang w:val="es-ES" w:eastAsia="es-ES"/>
    </w:rPr>
  </w:style>
  <w:style w:type="paragraph" w:styleId="Encabezado">
    <w:name w:val="header"/>
    <w:basedOn w:val="Normal"/>
    <w:link w:val="EncabezadoCar"/>
    <w:uiPriority w:val="99"/>
    <w:semiHidden/>
    <w:rsid w:val="00B44B24"/>
    <w:pPr>
      <w:tabs>
        <w:tab w:val="center" w:pos="4419"/>
        <w:tab w:val="right" w:pos="8838"/>
      </w:tabs>
    </w:pPr>
  </w:style>
  <w:style w:type="character" w:customStyle="1" w:styleId="EncabezadoCar">
    <w:name w:val="Encabezado Car"/>
    <w:basedOn w:val="Fuentedeprrafopredeter"/>
    <w:link w:val="Encabezado"/>
    <w:uiPriority w:val="99"/>
    <w:semiHidden/>
    <w:locked/>
    <w:rsid w:val="00B44B24"/>
    <w:rPr>
      <w:rFonts w:ascii="Calibri" w:hAnsi="Calibri" w:cs="Times New Roman"/>
      <w:sz w:val="24"/>
      <w:szCs w:val="24"/>
      <w:lang w:val="es-ES" w:eastAsia="es-ES"/>
    </w:rPr>
  </w:style>
  <w:style w:type="paragraph" w:styleId="Piedepgina">
    <w:name w:val="footer"/>
    <w:basedOn w:val="Normal"/>
    <w:link w:val="PiedepginaCar"/>
    <w:uiPriority w:val="99"/>
    <w:rsid w:val="00B44B24"/>
    <w:pPr>
      <w:tabs>
        <w:tab w:val="center" w:pos="4419"/>
        <w:tab w:val="right" w:pos="8838"/>
      </w:tabs>
    </w:pPr>
  </w:style>
  <w:style w:type="character" w:customStyle="1" w:styleId="PiedepginaCar">
    <w:name w:val="Pie de página Car"/>
    <w:basedOn w:val="Fuentedeprrafopredeter"/>
    <w:link w:val="Piedepgina"/>
    <w:uiPriority w:val="99"/>
    <w:locked/>
    <w:rsid w:val="00B44B24"/>
    <w:rPr>
      <w:rFonts w:ascii="Calibri" w:hAnsi="Calibri" w:cs="Times New Roman"/>
      <w:sz w:val="24"/>
      <w:szCs w:val="24"/>
      <w:lang w:val="es-ES" w:eastAsia="es-ES"/>
    </w:rPr>
  </w:style>
  <w:style w:type="table" w:styleId="Tablaconcuadrcula">
    <w:name w:val="Table Grid"/>
    <w:basedOn w:val="Tablanormal"/>
    <w:uiPriority w:val="59"/>
    <w:rsid w:val="00B9649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4F7682"/>
    <w:pPr>
      <w:spacing w:before="100" w:beforeAutospacing="1" w:after="100" w:afterAutospacing="1"/>
    </w:pPr>
    <w:rPr>
      <w:rFonts w:ascii="Times New Roman" w:hAnsi="Times New Roman"/>
      <w:lang w:val="es-MX" w:eastAsia="es-MX"/>
    </w:rPr>
  </w:style>
  <w:style w:type="paragraph" w:styleId="TDC2">
    <w:name w:val="toc 2"/>
    <w:basedOn w:val="Normal"/>
    <w:next w:val="Normal"/>
    <w:autoRedefine/>
    <w:uiPriority w:val="99"/>
    <w:rsid w:val="002800F6"/>
    <w:pPr>
      <w:spacing w:after="100"/>
      <w:ind w:left="240"/>
    </w:pPr>
  </w:style>
  <w:style w:type="paragraph" w:styleId="TDC1">
    <w:name w:val="toc 1"/>
    <w:basedOn w:val="Normal"/>
    <w:next w:val="Normal"/>
    <w:autoRedefine/>
    <w:uiPriority w:val="99"/>
    <w:rsid w:val="002800F6"/>
    <w:pPr>
      <w:spacing w:after="100"/>
    </w:pPr>
  </w:style>
  <w:style w:type="paragraph" w:styleId="TDC3">
    <w:name w:val="toc 3"/>
    <w:basedOn w:val="Normal"/>
    <w:next w:val="Normal"/>
    <w:autoRedefine/>
    <w:uiPriority w:val="99"/>
    <w:rsid w:val="002800F6"/>
    <w:pPr>
      <w:spacing w:after="100"/>
      <w:ind w:left="480"/>
    </w:pPr>
  </w:style>
  <w:style w:type="character" w:styleId="Hipervnculo">
    <w:name w:val="Hyperlink"/>
    <w:basedOn w:val="Fuentedeprrafopredeter"/>
    <w:uiPriority w:val="99"/>
    <w:rsid w:val="002800F6"/>
    <w:rPr>
      <w:rFonts w:cs="Times New Roman"/>
      <w:color w:val="0000FF"/>
      <w:u w:val="single"/>
    </w:rPr>
  </w:style>
  <w:style w:type="paragraph" w:customStyle="1" w:styleId="Default">
    <w:name w:val="Default"/>
    <w:uiPriority w:val="99"/>
    <w:rsid w:val="00DB7AE6"/>
    <w:pPr>
      <w:autoSpaceDE w:val="0"/>
      <w:autoSpaceDN w:val="0"/>
      <w:adjustRightInd w:val="0"/>
    </w:pPr>
    <w:rPr>
      <w:rFonts w:ascii="KNNFHK+Arial,Bold" w:hAnsi="KNNFHK+Arial,Bold" w:cs="KNNFHK+Arial,Bold"/>
      <w:color w:val="000000"/>
      <w:sz w:val="24"/>
      <w:szCs w:val="24"/>
      <w:lang w:val="es-MX" w:eastAsia="es-MX"/>
    </w:rPr>
  </w:style>
  <w:style w:type="paragraph" w:customStyle="1" w:styleId="BodyTextNoIndent">
    <w:name w:val="BodyText NoIndent"/>
    <w:basedOn w:val="Default"/>
    <w:next w:val="Default"/>
    <w:uiPriority w:val="99"/>
    <w:rsid w:val="00DB7AE6"/>
    <w:rPr>
      <w:rFonts w:cs="Times New Roman"/>
      <w:color w:val="auto"/>
    </w:rPr>
  </w:style>
  <w:style w:type="paragraph" w:styleId="Listaconvietas">
    <w:name w:val="List Bullet"/>
    <w:basedOn w:val="Default"/>
    <w:next w:val="Default"/>
    <w:uiPriority w:val="99"/>
    <w:rsid w:val="00DB7AE6"/>
    <w:rPr>
      <w:rFonts w:cs="Times New Roman"/>
      <w:color w:val="auto"/>
    </w:rPr>
  </w:style>
  <w:style w:type="paragraph" w:styleId="Textoindependiente">
    <w:name w:val="Body Text"/>
    <w:basedOn w:val="Default"/>
    <w:next w:val="Default"/>
    <w:link w:val="TextoindependienteCar"/>
    <w:uiPriority w:val="99"/>
    <w:rsid w:val="00DB7AE6"/>
    <w:rPr>
      <w:rFonts w:cs="Times New Roman"/>
      <w:color w:val="auto"/>
    </w:rPr>
  </w:style>
  <w:style w:type="character" w:customStyle="1" w:styleId="TextoindependienteCar">
    <w:name w:val="Texto independiente Car"/>
    <w:basedOn w:val="Fuentedeprrafopredeter"/>
    <w:link w:val="Textoindependiente"/>
    <w:uiPriority w:val="99"/>
    <w:locked/>
    <w:rsid w:val="00DB7AE6"/>
    <w:rPr>
      <w:rFonts w:ascii="KNNFHK+Arial,Bold" w:hAnsi="KNNFHK+Arial,Bold" w:cs="Times New Roman"/>
      <w:sz w:val="24"/>
      <w:szCs w:val="24"/>
    </w:rPr>
  </w:style>
  <w:style w:type="paragraph" w:styleId="Textoindependiente2">
    <w:name w:val="Body Text 2"/>
    <w:basedOn w:val="Normal"/>
    <w:link w:val="Textoindependiente2Car"/>
    <w:uiPriority w:val="99"/>
    <w:semiHidden/>
    <w:rsid w:val="007514D0"/>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7514D0"/>
    <w:rPr>
      <w:rFonts w:ascii="Calibri" w:hAnsi="Calibri" w:cs="Times New Roman"/>
      <w:sz w:val="24"/>
      <w:szCs w:val="24"/>
      <w:lang w:val="es-ES" w:eastAsia="es-ES"/>
    </w:rPr>
  </w:style>
  <w:style w:type="paragraph" w:styleId="Subttulo">
    <w:name w:val="Subtitle"/>
    <w:basedOn w:val="Normal"/>
    <w:link w:val="SubttuloCar"/>
    <w:uiPriority w:val="99"/>
    <w:qFormat/>
    <w:rsid w:val="007514D0"/>
    <w:pPr>
      <w:jc w:val="center"/>
    </w:pPr>
    <w:rPr>
      <w:rFonts w:ascii="Arial" w:hAnsi="Arial"/>
      <w:b/>
      <w:bCs/>
    </w:rPr>
  </w:style>
  <w:style w:type="character" w:customStyle="1" w:styleId="SubttuloCar">
    <w:name w:val="Subtítulo Car"/>
    <w:basedOn w:val="Fuentedeprrafopredeter"/>
    <w:link w:val="Subttulo"/>
    <w:uiPriority w:val="99"/>
    <w:locked/>
    <w:rsid w:val="007514D0"/>
    <w:rPr>
      <w:rFonts w:ascii="Arial" w:hAnsi="Arial" w:cs="Times New Roman"/>
      <w:b/>
      <w:bCs/>
      <w:sz w:val="24"/>
      <w:szCs w:val="24"/>
      <w:lang w:val="es-ES" w:eastAsia="es-ES"/>
    </w:rPr>
  </w:style>
  <w:style w:type="paragraph" w:styleId="Textonotapie">
    <w:name w:val="footnote text"/>
    <w:basedOn w:val="Normal"/>
    <w:link w:val="TextonotapieCar"/>
    <w:uiPriority w:val="99"/>
    <w:semiHidden/>
    <w:rsid w:val="00C348CC"/>
    <w:rPr>
      <w:sz w:val="20"/>
      <w:szCs w:val="20"/>
    </w:rPr>
  </w:style>
  <w:style w:type="character" w:customStyle="1" w:styleId="TextonotapieCar">
    <w:name w:val="Texto nota pie Car"/>
    <w:basedOn w:val="Fuentedeprrafopredeter"/>
    <w:link w:val="Textonotapie"/>
    <w:uiPriority w:val="99"/>
    <w:semiHidden/>
    <w:locked/>
    <w:rsid w:val="00C348CC"/>
    <w:rPr>
      <w:rFonts w:ascii="Calibri" w:hAnsi="Calibri" w:cs="Times New Roman"/>
      <w:lang w:val="es-ES" w:eastAsia="es-ES"/>
    </w:rPr>
  </w:style>
  <w:style w:type="character" w:styleId="Refdenotaalpie">
    <w:name w:val="footnote reference"/>
    <w:basedOn w:val="Fuentedeprrafopredeter"/>
    <w:uiPriority w:val="99"/>
    <w:semiHidden/>
    <w:rsid w:val="00C348CC"/>
    <w:rPr>
      <w:rFonts w:cs="Times New Roman"/>
      <w:vertAlign w:val="superscript"/>
    </w:rPr>
  </w:style>
  <w:style w:type="character" w:customStyle="1" w:styleId="apple-style-span">
    <w:name w:val="apple-style-span"/>
    <w:basedOn w:val="Fuentedeprrafopredeter"/>
    <w:uiPriority w:val="99"/>
    <w:rsid w:val="00CA0E66"/>
    <w:rPr>
      <w:rFonts w:cs="Times New Roman"/>
    </w:rPr>
  </w:style>
  <w:style w:type="character" w:customStyle="1" w:styleId="googqs-tidbit">
    <w:name w:val="goog_qs-tidbit"/>
    <w:basedOn w:val="Fuentedeprrafopredeter"/>
    <w:uiPriority w:val="99"/>
    <w:rsid w:val="007F4DF0"/>
    <w:rPr>
      <w:rFonts w:cs="Times New Roman"/>
    </w:rPr>
  </w:style>
  <w:style w:type="paragraph" w:styleId="Textoindependiente3">
    <w:name w:val="Body Text 3"/>
    <w:basedOn w:val="Normal"/>
    <w:link w:val="Textoindependiente3Car"/>
    <w:uiPriority w:val="99"/>
    <w:semiHidden/>
    <w:rsid w:val="0014128B"/>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14128B"/>
    <w:rPr>
      <w:rFonts w:ascii="Calibri" w:hAnsi="Calibri" w:cs="Times New Roman"/>
      <w:sz w:val="16"/>
      <w:szCs w:val="16"/>
      <w:lang w:val="es-ES" w:eastAsia="es-ES"/>
    </w:rPr>
  </w:style>
  <w:style w:type="paragraph" w:customStyle="1" w:styleId="BodyText21">
    <w:name w:val="Body Text 21"/>
    <w:basedOn w:val="Normal"/>
    <w:uiPriority w:val="99"/>
    <w:rsid w:val="0014128B"/>
    <w:pPr>
      <w:ind w:left="709"/>
      <w:jc w:val="both"/>
    </w:pPr>
    <w:rPr>
      <w:rFonts w:ascii="Times New Roman" w:hAnsi="Times New Roman"/>
      <w:sz w:val="20"/>
      <w:szCs w:val="20"/>
      <w:lang w:val="es-ES_tradnl"/>
    </w:rPr>
  </w:style>
</w:styles>
</file>

<file path=word/webSettings.xml><?xml version="1.0" encoding="utf-8"?>
<w:webSettings xmlns:r="http://schemas.openxmlformats.org/officeDocument/2006/relationships" xmlns:w="http://schemas.openxmlformats.org/wordprocessingml/2006/main">
  <w:divs>
    <w:div w:id="10187582">
      <w:bodyDiv w:val="1"/>
      <w:marLeft w:val="0"/>
      <w:marRight w:val="0"/>
      <w:marTop w:val="0"/>
      <w:marBottom w:val="0"/>
      <w:divBdr>
        <w:top w:val="none" w:sz="0" w:space="0" w:color="auto"/>
        <w:left w:val="none" w:sz="0" w:space="0" w:color="auto"/>
        <w:bottom w:val="none" w:sz="0" w:space="0" w:color="auto"/>
        <w:right w:val="none" w:sz="0" w:space="0" w:color="auto"/>
      </w:divBdr>
    </w:div>
    <w:div w:id="33969302">
      <w:bodyDiv w:val="1"/>
      <w:marLeft w:val="0"/>
      <w:marRight w:val="0"/>
      <w:marTop w:val="0"/>
      <w:marBottom w:val="0"/>
      <w:divBdr>
        <w:top w:val="none" w:sz="0" w:space="0" w:color="auto"/>
        <w:left w:val="none" w:sz="0" w:space="0" w:color="auto"/>
        <w:bottom w:val="none" w:sz="0" w:space="0" w:color="auto"/>
        <w:right w:val="none" w:sz="0" w:space="0" w:color="auto"/>
      </w:divBdr>
    </w:div>
    <w:div w:id="37358524">
      <w:bodyDiv w:val="1"/>
      <w:marLeft w:val="0"/>
      <w:marRight w:val="0"/>
      <w:marTop w:val="0"/>
      <w:marBottom w:val="0"/>
      <w:divBdr>
        <w:top w:val="none" w:sz="0" w:space="0" w:color="auto"/>
        <w:left w:val="none" w:sz="0" w:space="0" w:color="auto"/>
        <w:bottom w:val="none" w:sz="0" w:space="0" w:color="auto"/>
        <w:right w:val="none" w:sz="0" w:space="0" w:color="auto"/>
      </w:divBdr>
    </w:div>
    <w:div w:id="60177889">
      <w:bodyDiv w:val="1"/>
      <w:marLeft w:val="0"/>
      <w:marRight w:val="0"/>
      <w:marTop w:val="0"/>
      <w:marBottom w:val="0"/>
      <w:divBdr>
        <w:top w:val="none" w:sz="0" w:space="0" w:color="auto"/>
        <w:left w:val="none" w:sz="0" w:space="0" w:color="auto"/>
        <w:bottom w:val="none" w:sz="0" w:space="0" w:color="auto"/>
        <w:right w:val="none" w:sz="0" w:space="0" w:color="auto"/>
      </w:divBdr>
    </w:div>
    <w:div w:id="208222783">
      <w:bodyDiv w:val="1"/>
      <w:marLeft w:val="0"/>
      <w:marRight w:val="0"/>
      <w:marTop w:val="0"/>
      <w:marBottom w:val="0"/>
      <w:divBdr>
        <w:top w:val="none" w:sz="0" w:space="0" w:color="auto"/>
        <w:left w:val="none" w:sz="0" w:space="0" w:color="auto"/>
        <w:bottom w:val="none" w:sz="0" w:space="0" w:color="auto"/>
        <w:right w:val="none" w:sz="0" w:space="0" w:color="auto"/>
      </w:divBdr>
    </w:div>
    <w:div w:id="221527978">
      <w:bodyDiv w:val="1"/>
      <w:marLeft w:val="0"/>
      <w:marRight w:val="0"/>
      <w:marTop w:val="0"/>
      <w:marBottom w:val="0"/>
      <w:divBdr>
        <w:top w:val="none" w:sz="0" w:space="0" w:color="auto"/>
        <w:left w:val="none" w:sz="0" w:space="0" w:color="auto"/>
        <w:bottom w:val="none" w:sz="0" w:space="0" w:color="auto"/>
        <w:right w:val="none" w:sz="0" w:space="0" w:color="auto"/>
      </w:divBdr>
    </w:div>
    <w:div w:id="253050439">
      <w:bodyDiv w:val="1"/>
      <w:marLeft w:val="0"/>
      <w:marRight w:val="0"/>
      <w:marTop w:val="0"/>
      <w:marBottom w:val="0"/>
      <w:divBdr>
        <w:top w:val="none" w:sz="0" w:space="0" w:color="auto"/>
        <w:left w:val="none" w:sz="0" w:space="0" w:color="auto"/>
        <w:bottom w:val="none" w:sz="0" w:space="0" w:color="auto"/>
        <w:right w:val="none" w:sz="0" w:space="0" w:color="auto"/>
      </w:divBdr>
      <w:divsChild>
        <w:div w:id="28579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5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431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484716">
      <w:bodyDiv w:val="1"/>
      <w:marLeft w:val="0"/>
      <w:marRight w:val="0"/>
      <w:marTop w:val="0"/>
      <w:marBottom w:val="0"/>
      <w:divBdr>
        <w:top w:val="none" w:sz="0" w:space="0" w:color="auto"/>
        <w:left w:val="none" w:sz="0" w:space="0" w:color="auto"/>
        <w:bottom w:val="none" w:sz="0" w:space="0" w:color="auto"/>
        <w:right w:val="none" w:sz="0" w:space="0" w:color="auto"/>
      </w:divBdr>
    </w:div>
    <w:div w:id="390230155">
      <w:bodyDiv w:val="1"/>
      <w:marLeft w:val="0"/>
      <w:marRight w:val="0"/>
      <w:marTop w:val="0"/>
      <w:marBottom w:val="0"/>
      <w:divBdr>
        <w:top w:val="none" w:sz="0" w:space="0" w:color="auto"/>
        <w:left w:val="none" w:sz="0" w:space="0" w:color="auto"/>
        <w:bottom w:val="none" w:sz="0" w:space="0" w:color="auto"/>
        <w:right w:val="none" w:sz="0" w:space="0" w:color="auto"/>
      </w:divBdr>
      <w:divsChild>
        <w:div w:id="3200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467624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21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0614708">
      <w:bodyDiv w:val="1"/>
      <w:marLeft w:val="0"/>
      <w:marRight w:val="0"/>
      <w:marTop w:val="0"/>
      <w:marBottom w:val="0"/>
      <w:divBdr>
        <w:top w:val="none" w:sz="0" w:space="0" w:color="auto"/>
        <w:left w:val="none" w:sz="0" w:space="0" w:color="auto"/>
        <w:bottom w:val="none" w:sz="0" w:space="0" w:color="auto"/>
        <w:right w:val="none" w:sz="0" w:space="0" w:color="auto"/>
      </w:divBdr>
    </w:div>
    <w:div w:id="497501437">
      <w:bodyDiv w:val="1"/>
      <w:marLeft w:val="0"/>
      <w:marRight w:val="0"/>
      <w:marTop w:val="0"/>
      <w:marBottom w:val="0"/>
      <w:divBdr>
        <w:top w:val="none" w:sz="0" w:space="0" w:color="auto"/>
        <w:left w:val="none" w:sz="0" w:space="0" w:color="auto"/>
        <w:bottom w:val="none" w:sz="0" w:space="0" w:color="auto"/>
        <w:right w:val="none" w:sz="0" w:space="0" w:color="auto"/>
      </w:divBdr>
    </w:div>
    <w:div w:id="520972859">
      <w:bodyDiv w:val="1"/>
      <w:marLeft w:val="0"/>
      <w:marRight w:val="0"/>
      <w:marTop w:val="0"/>
      <w:marBottom w:val="0"/>
      <w:divBdr>
        <w:top w:val="none" w:sz="0" w:space="0" w:color="auto"/>
        <w:left w:val="none" w:sz="0" w:space="0" w:color="auto"/>
        <w:bottom w:val="none" w:sz="0" w:space="0" w:color="auto"/>
        <w:right w:val="none" w:sz="0" w:space="0" w:color="auto"/>
      </w:divBdr>
    </w:div>
    <w:div w:id="524558830">
      <w:bodyDiv w:val="1"/>
      <w:marLeft w:val="0"/>
      <w:marRight w:val="0"/>
      <w:marTop w:val="0"/>
      <w:marBottom w:val="0"/>
      <w:divBdr>
        <w:top w:val="none" w:sz="0" w:space="0" w:color="auto"/>
        <w:left w:val="none" w:sz="0" w:space="0" w:color="auto"/>
        <w:bottom w:val="none" w:sz="0" w:space="0" w:color="auto"/>
        <w:right w:val="none" w:sz="0" w:space="0" w:color="auto"/>
      </w:divBdr>
    </w:div>
    <w:div w:id="651252571">
      <w:bodyDiv w:val="1"/>
      <w:marLeft w:val="0"/>
      <w:marRight w:val="0"/>
      <w:marTop w:val="0"/>
      <w:marBottom w:val="0"/>
      <w:divBdr>
        <w:top w:val="none" w:sz="0" w:space="0" w:color="auto"/>
        <w:left w:val="none" w:sz="0" w:space="0" w:color="auto"/>
        <w:bottom w:val="none" w:sz="0" w:space="0" w:color="auto"/>
        <w:right w:val="none" w:sz="0" w:space="0" w:color="auto"/>
      </w:divBdr>
    </w:div>
    <w:div w:id="722102574">
      <w:bodyDiv w:val="1"/>
      <w:marLeft w:val="0"/>
      <w:marRight w:val="0"/>
      <w:marTop w:val="0"/>
      <w:marBottom w:val="0"/>
      <w:divBdr>
        <w:top w:val="none" w:sz="0" w:space="0" w:color="auto"/>
        <w:left w:val="none" w:sz="0" w:space="0" w:color="auto"/>
        <w:bottom w:val="none" w:sz="0" w:space="0" w:color="auto"/>
        <w:right w:val="none" w:sz="0" w:space="0" w:color="auto"/>
      </w:divBdr>
    </w:div>
    <w:div w:id="781800040">
      <w:bodyDiv w:val="1"/>
      <w:marLeft w:val="0"/>
      <w:marRight w:val="0"/>
      <w:marTop w:val="0"/>
      <w:marBottom w:val="0"/>
      <w:divBdr>
        <w:top w:val="none" w:sz="0" w:space="0" w:color="auto"/>
        <w:left w:val="none" w:sz="0" w:space="0" w:color="auto"/>
        <w:bottom w:val="none" w:sz="0" w:space="0" w:color="auto"/>
        <w:right w:val="none" w:sz="0" w:space="0" w:color="auto"/>
      </w:divBdr>
    </w:div>
    <w:div w:id="831406407">
      <w:bodyDiv w:val="1"/>
      <w:marLeft w:val="0"/>
      <w:marRight w:val="0"/>
      <w:marTop w:val="0"/>
      <w:marBottom w:val="0"/>
      <w:divBdr>
        <w:top w:val="none" w:sz="0" w:space="0" w:color="auto"/>
        <w:left w:val="none" w:sz="0" w:space="0" w:color="auto"/>
        <w:bottom w:val="none" w:sz="0" w:space="0" w:color="auto"/>
        <w:right w:val="none" w:sz="0" w:space="0" w:color="auto"/>
      </w:divBdr>
    </w:div>
    <w:div w:id="839468145">
      <w:bodyDiv w:val="1"/>
      <w:marLeft w:val="0"/>
      <w:marRight w:val="0"/>
      <w:marTop w:val="0"/>
      <w:marBottom w:val="0"/>
      <w:divBdr>
        <w:top w:val="none" w:sz="0" w:space="0" w:color="auto"/>
        <w:left w:val="none" w:sz="0" w:space="0" w:color="auto"/>
        <w:bottom w:val="none" w:sz="0" w:space="0" w:color="auto"/>
        <w:right w:val="none" w:sz="0" w:space="0" w:color="auto"/>
      </w:divBdr>
    </w:div>
    <w:div w:id="871458852">
      <w:bodyDiv w:val="1"/>
      <w:marLeft w:val="0"/>
      <w:marRight w:val="0"/>
      <w:marTop w:val="0"/>
      <w:marBottom w:val="0"/>
      <w:divBdr>
        <w:top w:val="none" w:sz="0" w:space="0" w:color="auto"/>
        <w:left w:val="none" w:sz="0" w:space="0" w:color="auto"/>
        <w:bottom w:val="none" w:sz="0" w:space="0" w:color="auto"/>
        <w:right w:val="none" w:sz="0" w:space="0" w:color="auto"/>
      </w:divBdr>
    </w:div>
    <w:div w:id="897285406">
      <w:bodyDiv w:val="1"/>
      <w:marLeft w:val="0"/>
      <w:marRight w:val="0"/>
      <w:marTop w:val="0"/>
      <w:marBottom w:val="0"/>
      <w:divBdr>
        <w:top w:val="none" w:sz="0" w:space="0" w:color="auto"/>
        <w:left w:val="none" w:sz="0" w:space="0" w:color="auto"/>
        <w:bottom w:val="none" w:sz="0" w:space="0" w:color="auto"/>
        <w:right w:val="none" w:sz="0" w:space="0" w:color="auto"/>
      </w:divBdr>
    </w:div>
    <w:div w:id="931091487">
      <w:bodyDiv w:val="1"/>
      <w:marLeft w:val="0"/>
      <w:marRight w:val="0"/>
      <w:marTop w:val="0"/>
      <w:marBottom w:val="0"/>
      <w:divBdr>
        <w:top w:val="none" w:sz="0" w:space="0" w:color="auto"/>
        <w:left w:val="none" w:sz="0" w:space="0" w:color="auto"/>
        <w:bottom w:val="none" w:sz="0" w:space="0" w:color="auto"/>
        <w:right w:val="none" w:sz="0" w:space="0" w:color="auto"/>
      </w:divBdr>
    </w:div>
    <w:div w:id="932543302">
      <w:bodyDiv w:val="1"/>
      <w:marLeft w:val="0"/>
      <w:marRight w:val="0"/>
      <w:marTop w:val="0"/>
      <w:marBottom w:val="0"/>
      <w:divBdr>
        <w:top w:val="none" w:sz="0" w:space="0" w:color="auto"/>
        <w:left w:val="none" w:sz="0" w:space="0" w:color="auto"/>
        <w:bottom w:val="none" w:sz="0" w:space="0" w:color="auto"/>
        <w:right w:val="none" w:sz="0" w:space="0" w:color="auto"/>
      </w:divBdr>
    </w:div>
    <w:div w:id="1012684269">
      <w:bodyDiv w:val="1"/>
      <w:marLeft w:val="0"/>
      <w:marRight w:val="0"/>
      <w:marTop w:val="0"/>
      <w:marBottom w:val="0"/>
      <w:divBdr>
        <w:top w:val="none" w:sz="0" w:space="0" w:color="auto"/>
        <w:left w:val="none" w:sz="0" w:space="0" w:color="auto"/>
        <w:bottom w:val="none" w:sz="0" w:space="0" w:color="auto"/>
        <w:right w:val="none" w:sz="0" w:space="0" w:color="auto"/>
      </w:divBdr>
    </w:div>
    <w:div w:id="1058868718">
      <w:bodyDiv w:val="1"/>
      <w:marLeft w:val="0"/>
      <w:marRight w:val="0"/>
      <w:marTop w:val="0"/>
      <w:marBottom w:val="0"/>
      <w:divBdr>
        <w:top w:val="none" w:sz="0" w:space="0" w:color="auto"/>
        <w:left w:val="none" w:sz="0" w:space="0" w:color="auto"/>
        <w:bottom w:val="none" w:sz="0" w:space="0" w:color="auto"/>
        <w:right w:val="none" w:sz="0" w:space="0" w:color="auto"/>
      </w:divBdr>
    </w:div>
    <w:div w:id="1068574498">
      <w:bodyDiv w:val="1"/>
      <w:marLeft w:val="0"/>
      <w:marRight w:val="0"/>
      <w:marTop w:val="0"/>
      <w:marBottom w:val="0"/>
      <w:divBdr>
        <w:top w:val="none" w:sz="0" w:space="0" w:color="auto"/>
        <w:left w:val="none" w:sz="0" w:space="0" w:color="auto"/>
        <w:bottom w:val="none" w:sz="0" w:space="0" w:color="auto"/>
        <w:right w:val="none" w:sz="0" w:space="0" w:color="auto"/>
      </w:divBdr>
    </w:div>
    <w:div w:id="1095249407">
      <w:marLeft w:val="0"/>
      <w:marRight w:val="0"/>
      <w:marTop w:val="0"/>
      <w:marBottom w:val="0"/>
      <w:divBdr>
        <w:top w:val="none" w:sz="0" w:space="0" w:color="auto"/>
        <w:left w:val="none" w:sz="0" w:space="0" w:color="auto"/>
        <w:bottom w:val="none" w:sz="0" w:space="0" w:color="auto"/>
        <w:right w:val="none" w:sz="0" w:space="0" w:color="auto"/>
      </w:divBdr>
    </w:div>
    <w:div w:id="1184321648">
      <w:bodyDiv w:val="1"/>
      <w:marLeft w:val="0"/>
      <w:marRight w:val="0"/>
      <w:marTop w:val="0"/>
      <w:marBottom w:val="0"/>
      <w:divBdr>
        <w:top w:val="none" w:sz="0" w:space="0" w:color="auto"/>
        <w:left w:val="none" w:sz="0" w:space="0" w:color="auto"/>
        <w:bottom w:val="none" w:sz="0" w:space="0" w:color="auto"/>
        <w:right w:val="none" w:sz="0" w:space="0" w:color="auto"/>
      </w:divBdr>
    </w:div>
    <w:div w:id="1194611901">
      <w:marLeft w:val="0"/>
      <w:marRight w:val="0"/>
      <w:marTop w:val="0"/>
      <w:marBottom w:val="0"/>
      <w:divBdr>
        <w:top w:val="none" w:sz="0" w:space="0" w:color="auto"/>
        <w:left w:val="none" w:sz="0" w:space="0" w:color="auto"/>
        <w:bottom w:val="none" w:sz="0" w:space="0" w:color="auto"/>
        <w:right w:val="none" w:sz="0" w:space="0" w:color="auto"/>
      </w:divBdr>
      <w:divsChild>
        <w:div w:id="1194611982">
          <w:marLeft w:val="0"/>
          <w:marRight w:val="0"/>
          <w:marTop w:val="0"/>
          <w:marBottom w:val="561"/>
          <w:divBdr>
            <w:top w:val="none" w:sz="0" w:space="0" w:color="auto"/>
            <w:left w:val="none" w:sz="0" w:space="0" w:color="auto"/>
            <w:bottom w:val="none" w:sz="0" w:space="0" w:color="auto"/>
            <w:right w:val="none" w:sz="0" w:space="0" w:color="auto"/>
          </w:divBdr>
          <w:divsChild>
            <w:div w:id="1194611986">
              <w:marLeft w:val="0"/>
              <w:marRight w:val="0"/>
              <w:marTop w:val="0"/>
              <w:marBottom w:val="0"/>
              <w:divBdr>
                <w:top w:val="none" w:sz="0" w:space="0" w:color="auto"/>
                <w:left w:val="none" w:sz="0" w:space="0" w:color="auto"/>
                <w:bottom w:val="none" w:sz="0" w:space="0" w:color="auto"/>
                <w:right w:val="none" w:sz="0" w:space="0" w:color="auto"/>
              </w:divBdr>
              <w:divsChild>
                <w:div w:id="1194612004">
                  <w:marLeft w:val="0"/>
                  <w:marRight w:val="0"/>
                  <w:marTop w:val="0"/>
                  <w:marBottom w:val="0"/>
                  <w:divBdr>
                    <w:top w:val="none" w:sz="0" w:space="0" w:color="auto"/>
                    <w:left w:val="none" w:sz="0" w:space="0" w:color="auto"/>
                    <w:bottom w:val="none" w:sz="0" w:space="0" w:color="auto"/>
                    <w:right w:val="none" w:sz="0" w:space="0" w:color="auto"/>
                  </w:divBdr>
                  <w:divsChild>
                    <w:div w:id="1194611983">
                      <w:marLeft w:val="0"/>
                      <w:marRight w:val="0"/>
                      <w:marTop w:val="0"/>
                      <w:marBottom w:val="0"/>
                      <w:divBdr>
                        <w:top w:val="none" w:sz="0" w:space="0" w:color="auto"/>
                        <w:left w:val="none" w:sz="0" w:space="0" w:color="auto"/>
                        <w:bottom w:val="none" w:sz="0" w:space="0" w:color="auto"/>
                        <w:right w:val="none" w:sz="0" w:space="0" w:color="auto"/>
                      </w:divBdr>
                      <w:divsChild>
                        <w:div w:id="1194611930">
                          <w:marLeft w:val="0"/>
                          <w:marRight w:val="0"/>
                          <w:marTop w:val="0"/>
                          <w:marBottom w:val="0"/>
                          <w:divBdr>
                            <w:top w:val="none" w:sz="0" w:space="0" w:color="auto"/>
                            <w:left w:val="none" w:sz="0" w:space="0" w:color="auto"/>
                            <w:bottom w:val="none" w:sz="0" w:space="0" w:color="auto"/>
                            <w:right w:val="none" w:sz="0" w:space="0" w:color="auto"/>
                          </w:divBdr>
                          <w:divsChild>
                            <w:div w:id="1194611941">
                              <w:marLeft w:val="0"/>
                              <w:marRight w:val="0"/>
                              <w:marTop w:val="0"/>
                              <w:marBottom w:val="0"/>
                              <w:divBdr>
                                <w:top w:val="none" w:sz="0" w:space="0" w:color="auto"/>
                                <w:left w:val="none" w:sz="0" w:space="0" w:color="auto"/>
                                <w:bottom w:val="none" w:sz="0" w:space="0" w:color="auto"/>
                                <w:right w:val="none" w:sz="0" w:space="0" w:color="auto"/>
                              </w:divBdr>
                              <w:divsChild>
                                <w:div w:id="1194611971">
                                  <w:marLeft w:val="0"/>
                                  <w:marRight w:val="0"/>
                                  <w:marTop w:val="0"/>
                                  <w:marBottom w:val="0"/>
                                  <w:divBdr>
                                    <w:top w:val="none" w:sz="0" w:space="0" w:color="auto"/>
                                    <w:left w:val="none" w:sz="0" w:space="0" w:color="auto"/>
                                    <w:bottom w:val="none" w:sz="0" w:space="0" w:color="auto"/>
                                    <w:right w:val="none" w:sz="0" w:space="0" w:color="auto"/>
                                  </w:divBdr>
                                  <w:divsChild>
                                    <w:div w:id="1194611900">
                                      <w:marLeft w:val="0"/>
                                      <w:marRight w:val="0"/>
                                      <w:marTop w:val="0"/>
                                      <w:marBottom w:val="0"/>
                                      <w:divBdr>
                                        <w:top w:val="none" w:sz="0" w:space="0" w:color="auto"/>
                                        <w:left w:val="none" w:sz="0" w:space="0" w:color="auto"/>
                                        <w:bottom w:val="none" w:sz="0" w:space="0" w:color="auto"/>
                                        <w:right w:val="none" w:sz="0" w:space="0" w:color="auto"/>
                                      </w:divBdr>
                                      <w:divsChild>
                                        <w:div w:id="1194611946">
                                          <w:marLeft w:val="720"/>
                                          <w:marRight w:val="720"/>
                                          <w:marTop w:val="100"/>
                                          <w:marBottom w:val="100"/>
                                          <w:divBdr>
                                            <w:top w:val="none" w:sz="0" w:space="0" w:color="auto"/>
                                            <w:left w:val="none" w:sz="0" w:space="0" w:color="auto"/>
                                            <w:bottom w:val="none" w:sz="0" w:space="0" w:color="auto"/>
                                            <w:right w:val="none" w:sz="0" w:space="0" w:color="auto"/>
                                          </w:divBdr>
                                        </w:div>
                                        <w:div w:id="11946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611905">
      <w:marLeft w:val="0"/>
      <w:marRight w:val="0"/>
      <w:marTop w:val="0"/>
      <w:marBottom w:val="0"/>
      <w:divBdr>
        <w:top w:val="none" w:sz="0" w:space="0" w:color="auto"/>
        <w:left w:val="none" w:sz="0" w:space="0" w:color="auto"/>
        <w:bottom w:val="none" w:sz="0" w:space="0" w:color="auto"/>
        <w:right w:val="none" w:sz="0" w:space="0" w:color="auto"/>
      </w:divBdr>
      <w:divsChild>
        <w:div w:id="1194611976">
          <w:marLeft w:val="0"/>
          <w:marRight w:val="0"/>
          <w:marTop w:val="0"/>
          <w:marBottom w:val="561"/>
          <w:divBdr>
            <w:top w:val="none" w:sz="0" w:space="0" w:color="auto"/>
            <w:left w:val="none" w:sz="0" w:space="0" w:color="auto"/>
            <w:bottom w:val="none" w:sz="0" w:space="0" w:color="auto"/>
            <w:right w:val="none" w:sz="0" w:space="0" w:color="auto"/>
          </w:divBdr>
          <w:divsChild>
            <w:div w:id="1194611929">
              <w:marLeft w:val="0"/>
              <w:marRight w:val="0"/>
              <w:marTop w:val="0"/>
              <w:marBottom w:val="0"/>
              <w:divBdr>
                <w:top w:val="none" w:sz="0" w:space="0" w:color="auto"/>
                <w:left w:val="none" w:sz="0" w:space="0" w:color="auto"/>
                <w:bottom w:val="none" w:sz="0" w:space="0" w:color="auto"/>
                <w:right w:val="none" w:sz="0" w:space="0" w:color="auto"/>
              </w:divBdr>
              <w:divsChild>
                <w:div w:id="1194611920">
                  <w:marLeft w:val="0"/>
                  <w:marRight w:val="0"/>
                  <w:marTop w:val="0"/>
                  <w:marBottom w:val="0"/>
                  <w:divBdr>
                    <w:top w:val="none" w:sz="0" w:space="0" w:color="auto"/>
                    <w:left w:val="none" w:sz="0" w:space="0" w:color="auto"/>
                    <w:bottom w:val="none" w:sz="0" w:space="0" w:color="auto"/>
                    <w:right w:val="none" w:sz="0" w:space="0" w:color="auto"/>
                  </w:divBdr>
                  <w:divsChild>
                    <w:div w:id="1194612000">
                      <w:marLeft w:val="0"/>
                      <w:marRight w:val="0"/>
                      <w:marTop w:val="0"/>
                      <w:marBottom w:val="0"/>
                      <w:divBdr>
                        <w:top w:val="none" w:sz="0" w:space="0" w:color="auto"/>
                        <w:left w:val="none" w:sz="0" w:space="0" w:color="auto"/>
                        <w:bottom w:val="none" w:sz="0" w:space="0" w:color="auto"/>
                        <w:right w:val="none" w:sz="0" w:space="0" w:color="auto"/>
                      </w:divBdr>
                      <w:divsChild>
                        <w:div w:id="1194611973">
                          <w:marLeft w:val="0"/>
                          <w:marRight w:val="0"/>
                          <w:marTop w:val="0"/>
                          <w:marBottom w:val="0"/>
                          <w:divBdr>
                            <w:top w:val="none" w:sz="0" w:space="0" w:color="auto"/>
                            <w:left w:val="none" w:sz="0" w:space="0" w:color="auto"/>
                            <w:bottom w:val="none" w:sz="0" w:space="0" w:color="auto"/>
                            <w:right w:val="none" w:sz="0" w:space="0" w:color="auto"/>
                          </w:divBdr>
                          <w:divsChild>
                            <w:div w:id="1194611954">
                              <w:marLeft w:val="0"/>
                              <w:marRight w:val="0"/>
                              <w:marTop w:val="0"/>
                              <w:marBottom w:val="0"/>
                              <w:divBdr>
                                <w:top w:val="none" w:sz="0" w:space="0" w:color="auto"/>
                                <w:left w:val="none" w:sz="0" w:space="0" w:color="auto"/>
                                <w:bottom w:val="none" w:sz="0" w:space="0" w:color="auto"/>
                                <w:right w:val="none" w:sz="0" w:space="0" w:color="auto"/>
                              </w:divBdr>
                              <w:divsChild>
                                <w:div w:id="1194612010">
                                  <w:marLeft w:val="0"/>
                                  <w:marRight w:val="0"/>
                                  <w:marTop w:val="0"/>
                                  <w:marBottom w:val="0"/>
                                  <w:divBdr>
                                    <w:top w:val="none" w:sz="0" w:space="0" w:color="auto"/>
                                    <w:left w:val="none" w:sz="0" w:space="0" w:color="auto"/>
                                    <w:bottom w:val="none" w:sz="0" w:space="0" w:color="auto"/>
                                    <w:right w:val="none" w:sz="0" w:space="0" w:color="auto"/>
                                  </w:divBdr>
                                  <w:divsChild>
                                    <w:div w:id="1194611918">
                                      <w:marLeft w:val="0"/>
                                      <w:marRight w:val="0"/>
                                      <w:marTop w:val="0"/>
                                      <w:marBottom w:val="0"/>
                                      <w:divBdr>
                                        <w:top w:val="none" w:sz="0" w:space="0" w:color="auto"/>
                                        <w:left w:val="none" w:sz="0" w:space="0" w:color="auto"/>
                                        <w:bottom w:val="none" w:sz="0" w:space="0" w:color="auto"/>
                                        <w:right w:val="none" w:sz="0" w:space="0" w:color="auto"/>
                                      </w:divBdr>
                                      <w:divsChild>
                                        <w:div w:id="1194611898">
                                          <w:marLeft w:val="0"/>
                                          <w:marRight w:val="0"/>
                                          <w:marTop w:val="0"/>
                                          <w:marBottom w:val="0"/>
                                          <w:divBdr>
                                            <w:top w:val="none" w:sz="0" w:space="0" w:color="auto"/>
                                            <w:left w:val="none" w:sz="0" w:space="0" w:color="auto"/>
                                            <w:bottom w:val="none" w:sz="0" w:space="0" w:color="auto"/>
                                            <w:right w:val="none" w:sz="0" w:space="0" w:color="auto"/>
                                          </w:divBdr>
                                        </w:div>
                                        <w:div w:id="1194611902">
                                          <w:marLeft w:val="0"/>
                                          <w:marRight w:val="0"/>
                                          <w:marTop w:val="0"/>
                                          <w:marBottom w:val="0"/>
                                          <w:divBdr>
                                            <w:top w:val="none" w:sz="0" w:space="0" w:color="auto"/>
                                            <w:left w:val="none" w:sz="0" w:space="0" w:color="auto"/>
                                            <w:bottom w:val="none" w:sz="0" w:space="0" w:color="auto"/>
                                            <w:right w:val="none" w:sz="0" w:space="0" w:color="auto"/>
                                          </w:divBdr>
                                        </w:div>
                                        <w:div w:id="1194611906">
                                          <w:marLeft w:val="0"/>
                                          <w:marRight w:val="0"/>
                                          <w:marTop w:val="0"/>
                                          <w:marBottom w:val="0"/>
                                          <w:divBdr>
                                            <w:top w:val="none" w:sz="0" w:space="0" w:color="auto"/>
                                            <w:left w:val="none" w:sz="0" w:space="0" w:color="auto"/>
                                            <w:bottom w:val="none" w:sz="0" w:space="0" w:color="auto"/>
                                            <w:right w:val="none" w:sz="0" w:space="0" w:color="auto"/>
                                          </w:divBdr>
                                        </w:div>
                                        <w:div w:id="1194611919">
                                          <w:marLeft w:val="0"/>
                                          <w:marRight w:val="0"/>
                                          <w:marTop w:val="0"/>
                                          <w:marBottom w:val="0"/>
                                          <w:divBdr>
                                            <w:top w:val="none" w:sz="0" w:space="0" w:color="auto"/>
                                            <w:left w:val="none" w:sz="0" w:space="0" w:color="auto"/>
                                            <w:bottom w:val="none" w:sz="0" w:space="0" w:color="auto"/>
                                            <w:right w:val="none" w:sz="0" w:space="0" w:color="auto"/>
                                          </w:divBdr>
                                        </w:div>
                                        <w:div w:id="1194611927">
                                          <w:marLeft w:val="0"/>
                                          <w:marRight w:val="0"/>
                                          <w:marTop w:val="0"/>
                                          <w:marBottom w:val="0"/>
                                          <w:divBdr>
                                            <w:top w:val="none" w:sz="0" w:space="0" w:color="auto"/>
                                            <w:left w:val="none" w:sz="0" w:space="0" w:color="auto"/>
                                            <w:bottom w:val="none" w:sz="0" w:space="0" w:color="auto"/>
                                            <w:right w:val="none" w:sz="0" w:space="0" w:color="auto"/>
                                          </w:divBdr>
                                        </w:div>
                                        <w:div w:id="1194611928">
                                          <w:marLeft w:val="0"/>
                                          <w:marRight w:val="0"/>
                                          <w:marTop w:val="0"/>
                                          <w:marBottom w:val="0"/>
                                          <w:divBdr>
                                            <w:top w:val="none" w:sz="0" w:space="0" w:color="auto"/>
                                            <w:left w:val="none" w:sz="0" w:space="0" w:color="auto"/>
                                            <w:bottom w:val="none" w:sz="0" w:space="0" w:color="auto"/>
                                            <w:right w:val="none" w:sz="0" w:space="0" w:color="auto"/>
                                          </w:divBdr>
                                        </w:div>
                                        <w:div w:id="1194611933">
                                          <w:marLeft w:val="0"/>
                                          <w:marRight w:val="0"/>
                                          <w:marTop w:val="0"/>
                                          <w:marBottom w:val="0"/>
                                          <w:divBdr>
                                            <w:top w:val="none" w:sz="0" w:space="0" w:color="auto"/>
                                            <w:left w:val="none" w:sz="0" w:space="0" w:color="auto"/>
                                            <w:bottom w:val="none" w:sz="0" w:space="0" w:color="auto"/>
                                            <w:right w:val="none" w:sz="0" w:space="0" w:color="auto"/>
                                          </w:divBdr>
                                          <w:divsChild>
                                            <w:div w:id="1194611917">
                                              <w:marLeft w:val="0"/>
                                              <w:marRight w:val="0"/>
                                              <w:marTop w:val="0"/>
                                              <w:marBottom w:val="0"/>
                                              <w:divBdr>
                                                <w:top w:val="none" w:sz="0" w:space="0" w:color="auto"/>
                                                <w:left w:val="none" w:sz="0" w:space="0" w:color="auto"/>
                                                <w:bottom w:val="none" w:sz="0" w:space="0" w:color="auto"/>
                                                <w:right w:val="none" w:sz="0" w:space="0" w:color="auto"/>
                                              </w:divBdr>
                                            </w:div>
                                          </w:divsChild>
                                        </w:div>
                                        <w:div w:id="1194611934">
                                          <w:marLeft w:val="0"/>
                                          <w:marRight w:val="0"/>
                                          <w:marTop w:val="0"/>
                                          <w:marBottom w:val="0"/>
                                          <w:divBdr>
                                            <w:top w:val="none" w:sz="0" w:space="0" w:color="auto"/>
                                            <w:left w:val="none" w:sz="0" w:space="0" w:color="auto"/>
                                            <w:bottom w:val="none" w:sz="0" w:space="0" w:color="auto"/>
                                            <w:right w:val="none" w:sz="0" w:space="0" w:color="auto"/>
                                          </w:divBdr>
                                        </w:div>
                                        <w:div w:id="1194611935">
                                          <w:marLeft w:val="0"/>
                                          <w:marRight w:val="0"/>
                                          <w:marTop w:val="0"/>
                                          <w:marBottom w:val="0"/>
                                          <w:divBdr>
                                            <w:top w:val="none" w:sz="0" w:space="0" w:color="auto"/>
                                            <w:left w:val="none" w:sz="0" w:space="0" w:color="auto"/>
                                            <w:bottom w:val="none" w:sz="0" w:space="0" w:color="auto"/>
                                            <w:right w:val="none" w:sz="0" w:space="0" w:color="auto"/>
                                          </w:divBdr>
                                        </w:div>
                                        <w:div w:id="1194611936">
                                          <w:marLeft w:val="0"/>
                                          <w:marRight w:val="0"/>
                                          <w:marTop w:val="0"/>
                                          <w:marBottom w:val="0"/>
                                          <w:divBdr>
                                            <w:top w:val="none" w:sz="0" w:space="0" w:color="auto"/>
                                            <w:left w:val="none" w:sz="0" w:space="0" w:color="auto"/>
                                            <w:bottom w:val="none" w:sz="0" w:space="0" w:color="auto"/>
                                            <w:right w:val="none" w:sz="0" w:space="0" w:color="auto"/>
                                          </w:divBdr>
                                        </w:div>
                                        <w:div w:id="1194611944">
                                          <w:marLeft w:val="0"/>
                                          <w:marRight w:val="0"/>
                                          <w:marTop w:val="0"/>
                                          <w:marBottom w:val="0"/>
                                          <w:divBdr>
                                            <w:top w:val="none" w:sz="0" w:space="0" w:color="auto"/>
                                            <w:left w:val="none" w:sz="0" w:space="0" w:color="auto"/>
                                            <w:bottom w:val="none" w:sz="0" w:space="0" w:color="auto"/>
                                            <w:right w:val="none" w:sz="0" w:space="0" w:color="auto"/>
                                          </w:divBdr>
                                        </w:div>
                                        <w:div w:id="1194611968">
                                          <w:marLeft w:val="0"/>
                                          <w:marRight w:val="0"/>
                                          <w:marTop w:val="0"/>
                                          <w:marBottom w:val="0"/>
                                          <w:divBdr>
                                            <w:top w:val="none" w:sz="0" w:space="0" w:color="auto"/>
                                            <w:left w:val="none" w:sz="0" w:space="0" w:color="auto"/>
                                            <w:bottom w:val="none" w:sz="0" w:space="0" w:color="auto"/>
                                            <w:right w:val="none" w:sz="0" w:space="0" w:color="auto"/>
                                          </w:divBdr>
                                        </w:div>
                                        <w:div w:id="1194611974">
                                          <w:marLeft w:val="0"/>
                                          <w:marRight w:val="0"/>
                                          <w:marTop w:val="0"/>
                                          <w:marBottom w:val="0"/>
                                          <w:divBdr>
                                            <w:top w:val="none" w:sz="0" w:space="0" w:color="auto"/>
                                            <w:left w:val="none" w:sz="0" w:space="0" w:color="auto"/>
                                            <w:bottom w:val="none" w:sz="0" w:space="0" w:color="auto"/>
                                            <w:right w:val="none" w:sz="0" w:space="0" w:color="auto"/>
                                          </w:divBdr>
                                        </w:div>
                                        <w:div w:id="1194611978">
                                          <w:marLeft w:val="0"/>
                                          <w:marRight w:val="0"/>
                                          <w:marTop w:val="0"/>
                                          <w:marBottom w:val="0"/>
                                          <w:divBdr>
                                            <w:top w:val="none" w:sz="0" w:space="0" w:color="auto"/>
                                            <w:left w:val="none" w:sz="0" w:space="0" w:color="auto"/>
                                            <w:bottom w:val="none" w:sz="0" w:space="0" w:color="auto"/>
                                            <w:right w:val="none" w:sz="0" w:space="0" w:color="auto"/>
                                          </w:divBdr>
                                        </w:div>
                                        <w:div w:id="1194611981">
                                          <w:marLeft w:val="0"/>
                                          <w:marRight w:val="0"/>
                                          <w:marTop w:val="0"/>
                                          <w:marBottom w:val="0"/>
                                          <w:divBdr>
                                            <w:top w:val="none" w:sz="0" w:space="0" w:color="auto"/>
                                            <w:left w:val="none" w:sz="0" w:space="0" w:color="auto"/>
                                            <w:bottom w:val="none" w:sz="0" w:space="0" w:color="auto"/>
                                            <w:right w:val="none" w:sz="0" w:space="0" w:color="auto"/>
                                          </w:divBdr>
                                        </w:div>
                                        <w:div w:id="1194611987">
                                          <w:marLeft w:val="0"/>
                                          <w:marRight w:val="0"/>
                                          <w:marTop w:val="0"/>
                                          <w:marBottom w:val="0"/>
                                          <w:divBdr>
                                            <w:top w:val="none" w:sz="0" w:space="0" w:color="auto"/>
                                            <w:left w:val="none" w:sz="0" w:space="0" w:color="auto"/>
                                            <w:bottom w:val="none" w:sz="0" w:space="0" w:color="auto"/>
                                            <w:right w:val="none" w:sz="0" w:space="0" w:color="auto"/>
                                          </w:divBdr>
                                        </w:div>
                                        <w:div w:id="1194611990">
                                          <w:marLeft w:val="0"/>
                                          <w:marRight w:val="0"/>
                                          <w:marTop w:val="0"/>
                                          <w:marBottom w:val="0"/>
                                          <w:divBdr>
                                            <w:top w:val="none" w:sz="0" w:space="0" w:color="auto"/>
                                            <w:left w:val="none" w:sz="0" w:space="0" w:color="auto"/>
                                            <w:bottom w:val="none" w:sz="0" w:space="0" w:color="auto"/>
                                            <w:right w:val="none" w:sz="0" w:space="0" w:color="auto"/>
                                          </w:divBdr>
                                        </w:div>
                                        <w:div w:id="1194611991">
                                          <w:marLeft w:val="0"/>
                                          <w:marRight w:val="0"/>
                                          <w:marTop w:val="0"/>
                                          <w:marBottom w:val="0"/>
                                          <w:divBdr>
                                            <w:top w:val="none" w:sz="0" w:space="0" w:color="auto"/>
                                            <w:left w:val="none" w:sz="0" w:space="0" w:color="auto"/>
                                            <w:bottom w:val="none" w:sz="0" w:space="0" w:color="auto"/>
                                            <w:right w:val="none" w:sz="0" w:space="0" w:color="auto"/>
                                          </w:divBdr>
                                        </w:div>
                                        <w:div w:id="1194611993">
                                          <w:marLeft w:val="0"/>
                                          <w:marRight w:val="0"/>
                                          <w:marTop w:val="0"/>
                                          <w:marBottom w:val="0"/>
                                          <w:divBdr>
                                            <w:top w:val="none" w:sz="0" w:space="0" w:color="auto"/>
                                            <w:left w:val="none" w:sz="0" w:space="0" w:color="auto"/>
                                            <w:bottom w:val="none" w:sz="0" w:space="0" w:color="auto"/>
                                            <w:right w:val="none" w:sz="0" w:space="0" w:color="auto"/>
                                          </w:divBdr>
                                        </w:div>
                                        <w:div w:id="1194611994">
                                          <w:marLeft w:val="0"/>
                                          <w:marRight w:val="0"/>
                                          <w:marTop w:val="0"/>
                                          <w:marBottom w:val="0"/>
                                          <w:divBdr>
                                            <w:top w:val="none" w:sz="0" w:space="0" w:color="auto"/>
                                            <w:left w:val="none" w:sz="0" w:space="0" w:color="auto"/>
                                            <w:bottom w:val="none" w:sz="0" w:space="0" w:color="auto"/>
                                            <w:right w:val="none" w:sz="0" w:space="0" w:color="auto"/>
                                          </w:divBdr>
                                        </w:div>
                                        <w:div w:id="1194612003">
                                          <w:marLeft w:val="0"/>
                                          <w:marRight w:val="0"/>
                                          <w:marTop w:val="0"/>
                                          <w:marBottom w:val="0"/>
                                          <w:divBdr>
                                            <w:top w:val="none" w:sz="0" w:space="0" w:color="auto"/>
                                            <w:left w:val="none" w:sz="0" w:space="0" w:color="auto"/>
                                            <w:bottom w:val="none" w:sz="0" w:space="0" w:color="auto"/>
                                            <w:right w:val="none" w:sz="0" w:space="0" w:color="auto"/>
                                          </w:divBdr>
                                        </w:div>
                                        <w:div w:id="1194612007">
                                          <w:marLeft w:val="0"/>
                                          <w:marRight w:val="0"/>
                                          <w:marTop w:val="0"/>
                                          <w:marBottom w:val="0"/>
                                          <w:divBdr>
                                            <w:top w:val="none" w:sz="0" w:space="0" w:color="auto"/>
                                            <w:left w:val="none" w:sz="0" w:space="0" w:color="auto"/>
                                            <w:bottom w:val="none" w:sz="0" w:space="0" w:color="auto"/>
                                            <w:right w:val="none" w:sz="0" w:space="0" w:color="auto"/>
                                          </w:divBdr>
                                        </w:div>
                                        <w:div w:id="1194612013">
                                          <w:marLeft w:val="0"/>
                                          <w:marRight w:val="0"/>
                                          <w:marTop w:val="0"/>
                                          <w:marBottom w:val="0"/>
                                          <w:divBdr>
                                            <w:top w:val="none" w:sz="0" w:space="0" w:color="auto"/>
                                            <w:left w:val="none" w:sz="0" w:space="0" w:color="auto"/>
                                            <w:bottom w:val="none" w:sz="0" w:space="0" w:color="auto"/>
                                            <w:right w:val="none" w:sz="0" w:space="0" w:color="auto"/>
                                          </w:divBdr>
                                        </w:div>
                                        <w:div w:id="11946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611908">
      <w:marLeft w:val="0"/>
      <w:marRight w:val="0"/>
      <w:marTop w:val="0"/>
      <w:marBottom w:val="0"/>
      <w:divBdr>
        <w:top w:val="none" w:sz="0" w:space="0" w:color="auto"/>
        <w:left w:val="none" w:sz="0" w:space="0" w:color="auto"/>
        <w:bottom w:val="none" w:sz="0" w:space="0" w:color="auto"/>
        <w:right w:val="none" w:sz="0" w:space="0" w:color="auto"/>
      </w:divBdr>
      <w:divsChild>
        <w:div w:id="1194611945">
          <w:marLeft w:val="0"/>
          <w:marRight w:val="0"/>
          <w:marTop w:val="0"/>
          <w:marBottom w:val="0"/>
          <w:divBdr>
            <w:top w:val="single" w:sz="6" w:space="0" w:color="678FC2"/>
            <w:left w:val="single" w:sz="6" w:space="0" w:color="678FC2"/>
            <w:bottom w:val="single" w:sz="6" w:space="0" w:color="678FC2"/>
            <w:right w:val="single" w:sz="6" w:space="0" w:color="678FC2"/>
          </w:divBdr>
          <w:divsChild>
            <w:div w:id="1194612005">
              <w:marLeft w:val="0"/>
              <w:marRight w:val="0"/>
              <w:marTop w:val="0"/>
              <w:marBottom w:val="0"/>
              <w:divBdr>
                <w:top w:val="none" w:sz="0" w:space="0" w:color="auto"/>
                <w:left w:val="none" w:sz="0" w:space="0" w:color="auto"/>
                <w:bottom w:val="none" w:sz="0" w:space="0" w:color="auto"/>
                <w:right w:val="none" w:sz="0" w:space="0" w:color="auto"/>
              </w:divBdr>
              <w:divsChild>
                <w:div w:id="1194611992">
                  <w:marLeft w:val="150"/>
                  <w:marRight w:val="150"/>
                  <w:marTop w:val="0"/>
                  <w:marBottom w:val="0"/>
                  <w:divBdr>
                    <w:top w:val="none" w:sz="0" w:space="0" w:color="auto"/>
                    <w:left w:val="none" w:sz="0" w:space="0" w:color="auto"/>
                    <w:bottom w:val="none" w:sz="0" w:space="0" w:color="auto"/>
                    <w:right w:val="none" w:sz="0" w:space="0" w:color="auto"/>
                  </w:divBdr>
                  <w:divsChild>
                    <w:div w:id="1194611924">
                      <w:marLeft w:val="0"/>
                      <w:marRight w:val="0"/>
                      <w:marTop w:val="0"/>
                      <w:marBottom w:val="0"/>
                      <w:divBdr>
                        <w:top w:val="none" w:sz="0" w:space="0" w:color="auto"/>
                        <w:left w:val="none" w:sz="0" w:space="0" w:color="auto"/>
                        <w:bottom w:val="none" w:sz="0" w:space="0" w:color="auto"/>
                        <w:right w:val="none" w:sz="0" w:space="0" w:color="auto"/>
                      </w:divBdr>
                      <w:divsChild>
                        <w:div w:id="1194611912">
                          <w:marLeft w:val="0"/>
                          <w:marRight w:val="0"/>
                          <w:marTop w:val="0"/>
                          <w:marBottom w:val="0"/>
                          <w:divBdr>
                            <w:top w:val="none" w:sz="0" w:space="0" w:color="auto"/>
                            <w:left w:val="none" w:sz="0" w:space="0" w:color="auto"/>
                            <w:bottom w:val="none" w:sz="0" w:space="0" w:color="auto"/>
                            <w:right w:val="none" w:sz="0" w:space="0" w:color="auto"/>
                          </w:divBdr>
                          <w:divsChild>
                            <w:div w:id="1194611915">
                              <w:marLeft w:val="0"/>
                              <w:marRight w:val="0"/>
                              <w:marTop w:val="0"/>
                              <w:marBottom w:val="0"/>
                              <w:divBdr>
                                <w:top w:val="none" w:sz="0" w:space="0" w:color="auto"/>
                                <w:left w:val="none" w:sz="0" w:space="0" w:color="auto"/>
                                <w:bottom w:val="none" w:sz="0" w:space="0" w:color="auto"/>
                                <w:right w:val="none" w:sz="0" w:space="0" w:color="auto"/>
                              </w:divBdr>
                            </w:div>
                            <w:div w:id="1194611948">
                              <w:marLeft w:val="0"/>
                              <w:marRight w:val="0"/>
                              <w:marTop w:val="0"/>
                              <w:marBottom w:val="0"/>
                              <w:divBdr>
                                <w:top w:val="none" w:sz="0" w:space="0" w:color="auto"/>
                                <w:left w:val="none" w:sz="0" w:space="0" w:color="auto"/>
                                <w:bottom w:val="none" w:sz="0" w:space="0" w:color="auto"/>
                                <w:right w:val="none" w:sz="0" w:space="0" w:color="auto"/>
                              </w:divBdr>
                            </w:div>
                            <w:div w:id="1194611969">
                              <w:marLeft w:val="0"/>
                              <w:marRight w:val="0"/>
                              <w:marTop w:val="0"/>
                              <w:marBottom w:val="0"/>
                              <w:divBdr>
                                <w:top w:val="none" w:sz="0" w:space="0" w:color="auto"/>
                                <w:left w:val="none" w:sz="0" w:space="0" w:color="auto"/>
                                <w:bottom w:val="none" w:sz="0" w:space="0" w:color="auto"/>
                                <w:right w:val="none" w:sz="0" w:space="0" w:color="auto"/>
                              </w:divBdr>
                            </w:div>
                            <w:div w:id="11946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11923">
      <w:marLeft w:val="0"/>
      <w:marRight w:val="0"/>
      <w:marTop w:val="0"/>
      <w:marBottom w:val="0"/>
      <w:divBdr>
        <w:top w:val="none" w:sz="0" w:space="0" w:color="auto"/>
        <w:left w:val="none" w:sz="0" w:space="0" w:color="auto"/>
        <w:bottom w:val="none" w:sz="0" w:space="0" w:color="auto"/>
        <w:right w:val="none" w:sz="0" w:space="0" w:color="auto"/>
      </w:divBdr>
    </w:div>
    <w:div w:id="1194611926">
      <w:marLeft w:val="0"/>
      <w:marRight w:val="0"/>
      <w:marTop w:val="0"/>
      <w:marBottom w:val="0"/>
      <w:divBdr>
        <w:top w:val="none" w:sz="0" w:space="0" w:color="auto"/>
        <w:left w:val="none" w:sz="0" w:space="0" w:color="auto"/>
        <w:bottom w:val="none" w:sz="0" w:space="0" w:color="auto"/>
        <w:right w:val="none" w:sz="0" w:space="0" w:color="auto"/>
      </w:divBdr>
    </w:div>
    <w:div w:id="1194611932">
      <w:marLeft w:val="0"/>
      <w:marRight w:val="0"/>
      <w:marTop w:val="0"/>
      <w:marBottom w:val="0"/>
      <w:divBdr>
        <w:top w:val="none" w:sz="0" w:space="0" w:color="auto"/>
        <w:left w:val="none" w:sz="0" w:space="0" w:color="auto"/>
        <w:bottom w:val="none" w:sz="0" w:space="0" w:color="auto"/>
        <w:right w:val="none" w:sz="0" w:space="0" w:color="auto"/>
      </w:divBdr>
    </w:div>
    <w:div w:id="1194611942">
      <w:marLeft w:val="0"/>
      <w:marRight w:val="0"/>
      <w:marTop w:val="0"/>
      <w:marBottom w:val="0"/>
      <w:divBdr>
        <w:top w:val="none" w:sz="0" w:space="0" w:color="auto"/>
        <w:left w:val="none" w:sz="0" w:space="0" w:color="auto"/>
        <w:bottom w:val="none" w:sz="0" w:space="0" w:color="auto"/>
        <w:right w:val="none" w:sz="0" w:space="0" w:color="auto"/>
      </w:divBdr>
      <w:divsChild>
        <w:div w:id="1194611970">
          <w:marLeft w:val="0"/>
          <w:marRight w:val="0"/>
          <w:marTop w:val="0"/>
          <w:marBottom w:val="0"/>
          <w:divBdr>
            <w:top w:val="none" w:sz="0" w:space="0" w:color="auto"/>
            <w:left w:val="none" w:sz="0" w:space="0" w:color="auto"/>
            <w:bottom w:val="none" w:sz="0" w:space="0" w:color="auto"/>
            <w:right w:val="none" w:sz="0" w:space="0" w:color="auto"/>
          </w:divBdr>
          <w:divsChild>
            <w:div w:id="1194611963">
              <w:marLeft w:val="0"/>
              <w:marRight w:val="0"/>
              <w:marTop w:val="0"/>
              <w:marBottom w:val="0"/>
              <w:divBdr>
                <w:top w:val="none" w:sz="0" w:space="0" w:color="auto"/>
                <w:left w:val="none" w:sz="0" w:space="0" w:color="auto"/>
                <w:bottom w:val="none" w:sz="0" w:space="0" w:color="auto"/>
                <w:right w:val="none" w:sz="0" w:space="0" w:color="auto"/>
              </w:divBdr>
              <w:divsChild>
                <w:div w:id="1194612012">
                  <w:marLeft w:val="0"/>
                  <w:marRight w:val="0"/>
                  <w:marTop w:val="187"/>
                  <w:marBottom w:val="187"/>
                  <w:divBdr>
                    <w:top w:val="none" w:sz="0" w:space="0" w:color="auto"/>
                    <w:left w:val="none" w:sz="0" w:space="0" w:color="auto"/>
                    <w:bottom w:val="none" w:sz="0" w:space="0" w:color="auto"/>
                    <w:right w:val="single" w:sz="2" w:space="0" w:color="E8E8E8"/>
                  </w:divBdr>
                </w:div>
              </w:divsChild>
            </w:div>
          </w:divsChild>
        </w:div>
      </w:divsChild>
    </w:div>
    <w:div w:id="1194611956">
      <w:marLeft w:val="0"/>
      <w:marRight w:val="0"/>
      <w:marTop w:val="0"/>
      <w:marBottom w:val="0"/>
      <w:divBdr>
        <w:top w:val="none" w:sz="0" w:space="0" w:color="auto"/>
        <w:left w:val="none" w:sz="0" w:space="0" w:color="auto"/>
        <w:bottom w:val="none" w:sz="0" w:space="0" w:color="auto"/>
        <w:right w:val="none" w:sz="0" w:space="0" w:color="auto"/>
      </w:divBdr>
    </w:div>
    <w:div w:id="1194611958">
      <w:marLeft w:val="0"/>
      <w:marRight w:val="0"/>
      <w:marTop w:val="0"/>
      <w:marBottom w:val="0"/>
      <w:divBdr>
        <w:top w:val="none" w:sz="0" w:space="0" w:color="auto"/>
        <w:left w:val="none" w:sz="0" w:space="0" w:color="auto"/>
        <w:bottom w:val="none" w:sz="0" w:space="0" w:color="auto"/>
        <w:right w:val="none" w:sz="0" w:space="0" w:color="auto"/>
      </w:divBdr>
      <w:divsChild>
        <w:div w:id="1194611949">
          <w:marLeft w:val="547"/>
          <w:marRight w:val="0"/>
          <w:marTop w:val="216"/>
          <w:marBottom w:val="0"/>
          <w:divBdr>
            <w:top w:val="none" w:sz="0" w:space="0" w:color="auto"/>
            <w:left w:val="none" w:sz="0" w:space="0" w:color="auto"/>
            <w:bottom w:val="none" w:sz="0" w:space="0" w:color="auto"/>
            <w:right w:val="none" w:sz="0" w:space="0" w:color="auto"/>
          </w:divBdr>
        </w:div>
        <w:div w:id="1194611985">
          <w:marLeft w:val="547"/>
          <w:marRight w:val="0"/>
          <w:marTop w:val="216"/>
          <w:marBottom w:val="0"/>
          <w:divBdr>
            <w:top w:val="none" w:sz="0" w:space="0" w:color="auto"/>
            <w:left w:val="none" w:sz="0" w:space="0" w:color="auto"/>
            <w:bottom w:val="none" w:sz="0" w:space="0" w:color="auto"/>
            <w:right w:val="none" w:sz="0" w:space="0" w:color="auto"/>
          </w:divBdr>
        </w:div>
      </w:divsChild>
    </w:div>
    <w:div w:id="1194611960">
      <w:marLeft w:val="0"/>
      <w:marRight w:val="0"/>
      <w:marTop w:val="0"/>
      <w:marBottom w:val="0"/>
      <w:divBdr>
        <w:top w:val="none" w:sz="0" w:space="0" w:color="auto"/>
        <w:left w:val="none" w:sz="0" w:space="0" w:color="auto"/>
        <w:bottom w:val="none" w:sz="0" w:space="0" w:color="auto"/>
        <w:right w:val="none" w:sz="0" w:space="0" w:color="auto"/>
      </w:divBdr>
      <w:divsChild>
        <w:div w:id="1194611947">
          <w:marLeft w:val="0"/>
          <w:marRight w:val="0"/>
          <w:marTop w:val="0"/>
          <w:marBottom w:val="0"/>
          <w:divBdr>
            <w:top w:val="none" w:sz="0" w:space="0" w:color="auto"/>
            <w:left w:val="none" w:sz="0" w:space="0" w:color="auto"/>
            <w:bottom w:val="none" w:sz="0" w:space="0" w:color="auto"/>
            <w:right w:val="none" w:sz="0" w:space="0" w:color="auto"/>
          </w:divBdr>
          <w:divsChild>
            <w:div w:id="1194611910">
              <w:marLeft w:val="0"/>
              <w:marRight w:val="0"/>
              <w:marTop w:val="0"/>
              <w:marBottom w:val="0"/>
              <w:divBdr>
                <w:top w:val="none" w:sz="0" w:space="0" w:color="auto"/>
                <w:left w:val="none" w:sz="0" w:space="0" w:color="auto"/>
                <w:bottom w:val="none" w:sz="0" w:space="0" w:color="auto"/>
                <w:right w:val="none" w:sz="0" w:space="0" w:color="auto"/>
              </w:divBdr>
              <w:divsChild>
                <w:div w:id="1194611951">
                  <w:marLeft w:val="0"/>
                  <w:marRight w:val="0"/>
                  <w:marTop w:val="187"/>
                  <w:marBottom w:val="187"/>
                  <w:divBdr>
                    <w:top w:val="none" w:sz="0" w:space="0" w:color="auto"/>
                    <w:left w:val="none" w:sz="0" w:space="0" w:color="auto"/>
                    <w:bottom w:val="none" w:sz="0" w:space="0" w:color="auto"/>
                    <w:right w:val="single" w:sz="2" w:space="0" w:color="E8E8E8"/>
                  </w:divBdr>
                </w:div>
              </w:divsChild>
            </w:div>
          </w:divsChild>
        </w:div>
      </w:divsChild>
    </w:div>
    <w:div w:id="1194611962">
      <w:marLeft w:val="0"/>
      <w:marRight w:val="0"/>
      <w:marTop w:val="0"/>
      <w:marBottom w:val="0"/>
      <w:divBdr>
        <w:top w:val="none" w:sz="0" w:space="0" w:color="auto"/>
        <w:left w:val="none" w:sz="0" w:space="0" w:color="auto"/>
        <w:bottom w:val="none" w:sz="0" w:space="0" w:color="auto"/>
        <w:right w:val="none" w:sz="0" w:space="0" w:color="auto"/>
      </w:divBdr>
    </w:div>
    <w:div w:id="1194611998">
      <w:marLeft w:val="0"/>
      <w:marRight w:val="0"/>
      <w:marTop w:val="0"/>
      <w:marBottom w:val="0"/>
      <w:divBdr>
        <w:top w:val="none" w:sz="0" w:space="0" w:color="auto"/>
        <w:left w:val="none" w:sz="0" w:space="0" w:color="auto"/>
        <w:bottom w:val="none" w:sz="0" w:space="0" w:color="auto"/>
        <w:right w:val="none" w:sz="0" w:space="0" w:color="auto"/>
      </w:divBdr>
      <w:divsChild>
        <w:div w:id="1194611952">
          <w:marLeft w:val="0"/>
          <w:marRight w:val="0"/>
          <w:marTop w:val="0"/>
          <w:marBottom w:val="561"/>
          <w:divBdr>
            <w:top w:val="none" w:sz="0" w:space="0" w:color="auto"/>
            <w:left w:val="none" w:sz="0" w:space="0" w:color="auto"/>
            <w:bottom w:val="none" w:sz="0" w:space="0" w:color="auto"/>
            <w:right w:val="none" w:sz="0" w:space="0" w:color="auto"/>
          </w:divBdr>
          <w:divsChild>
            <w:div w:id="1194611914">
              <w:marLeft w:val="0"/>
              <w:marRight w:val="0"/>
              <w:marTop w:val="0"/>
              <w:marBottom w:val="0"/>
              <w:divBdr>
                <w:top w:val="none" w:sz="0" w:space="0" w:color="auto"/>
                <w:left w:val="none" w:sz="0" w:space="0" w:color="auto"/>
                <w:bottom w:val="none" w:sz="0" w:space="0" w:color="auto"/>
                <w:right w:val="none" w:sz="0" w:space="0" w:color="auto"/>
              </w:divBdr>
              <w:divsChild>
                <w:div w:id="1194611995">
                  <w:marLeft w:val="0"/>
                  <w:marRight w:val="0"/>
                  <w:marTop w:val="0"/>
                  <w:marBottom w:val="0"/>
                  <w:divBdr>
                    <w:top w:val="none" w:sz="0" w:space="0" w:color="auto"/>
                    <w:left w:val="none" w:sz="0" w:space="0" w:color="auto"/>
                    <w:bottom w:val="none" w:sz="0" w:space="0" w:color="auto"/>
                    <w:right w:val="none" w:sz="0" w:space="0" w:color="auto"/>
                  </w:divBdr>
                  <w:divsChild>
                    <w:div w:id="1194611916">
                      <w:marLeft w:val="0"/>
                      <w:marRight w:val="0"/>
                      <w:marTop w:val="0"/>
                      <w:marBottom w:val="0"/>
                      <w:divBdr>
                        <w:top w:val="none" w:sz="0" w:space="0" w:color="auto"/>
                        <w:left w:val="none" w:sz="0" w:space="0" w:color="auto"/>
                        <w:bottom w:val="none" w:sz="0" w:space="0" w:color="auto"/>
                        <w:right w:val="none" w:sz="0" w:space="0" w:color="auto"/>
                      </w:divBdr>
                      <w:divsChild>
                        <w:div w:id="1194611979">
                          <w:marLeft w:val="0"/>
                          <w:marRight w:val="0"/>
                          <w:marTop w:val="0"/>
                          <w:marBottom w:val="0"/>
                          <w:divBdr>
                            <w:top w:val="none" w:sz="0" w:space="0" w:color="auto"/>
                            <w:left w:val="none" w:sz="0" w:space="0" w:color="auto"/>
                            <w:bottom w:val="none" w:sz="0" w:space="0" w:color="auto"/>
                            <w:right w:val="none" w:sz="0" w:space="0" w:color="auto"/>
                          </w:divBdr>
                          <w:divsChild>
                            <w:div w:id="1194611989">
                              <w:marLeft w:val="0"/>
                              <w:marRight w:val="0"/>
                              <w:marTop w:val="0"/>
                              <w:marBottom w:val="0"/>
                              <w:divBdr>
                                <w:top w:val="none" w:sz="0" w:space="0" w:color="auto"/>
                                <w:left w:val="none" w:sz="0" w:space="0" w:color="auto"/>
                                <w:bottom w:val="none" w:sz="0" w:space="0" w:color="auto"/>
                                <w:right w:val="none" w:sz="0" w:space="0" w:color="auto"/>
                              </w:divBdr>
                              <w:divsChild>
                                <w:div w:id="1194612001">
                                  <w:marLeft w:val="0"/>
                                  <w:marRight w:val="0"/>
                                  <w:marTop w:val="0"/>
                                  <w:marBottom w:val="0"/>
                                  <w:divBdr>
                                    <w:top w:val="none" w:sz="0" w:space="0" w:color="auto"/>
                                    <w:left w:val="none" w:sz="0" w:space="0" w:color="auto"/>
                                    <w:bottom w:val="none" w:sz="0" w:space="0" w:color="auto"/>
                                    <w:right w:val="none" w:sz="0" w:space="0" w:color="auto"/>
                                  </w:divBdr>
                                  <w:divsChild>
                                    <w:div w:id="1194611984">
                                      <w:marLeft w:val="0"/>
                                      <w:marRight w:val="0"/>
                                      <w:marTop w:val="0"/>
                                      <w:marBottom w:val="0"/>
                                      <w:divBdr>
                                        <w:top w:val="none" w:sz="0" w:space="0" w:color="auto"/>
                                        <w:left w:val="none" w:sz="0" w:space="0" w:color="auto"/>
                                        <w:bottom w:val="none" w:sz="0" w:space="0" w:color="auto"/>
                                        <w:right w:val="none" w:sz="0" w:space="0" w:color="auto"/>
                                      </w:divBdr>
                                      <w:divsChild>
                                        <w:div w:id="1194611903">
                                          <w:marLeft w:val="0"/>
                                          <w:marRight w:val="0"/>
                                          <w:marTop w:val="0"/>
                                          <w:marBottom w:val="0"/>
                                          <w:divBdr>
                                            <w:top w:val="none" w:sz="0" w:space="0" w:color="auto"/>
                                            <w:left w:val="none" w:sz="0" w:space="0" w:color="auto"/>
                                            <w:bottom w:val="none" w:sz="0" w:space="0" w:color="auto"/>
                                            <w:right w:val="none" w:sz="0" w:space="0" w:color="auto"/>
                                          </w:divBdr>
                                        </w:div>
                                        <w:div w:id="1194611943">
                                          <w:marLeft w:val="0"/>
                                          <w:marRight w:val="0"/>
                                          <w:marTop w:val="0"/>
                                          <w:marBottom w:val="0"/>
                                          <w:divBdr>
                                            <w:top w:val="none" w:sz="0" w:space="0" w:color="auto"/>
                                            <w:left w:val="none" w:sz="0" w:space="0" w:color="auto"/>
                                            <w:bottom w:val="none" w:sz="0" w:space="0" w:color="auto"/>
                                            <w:right w:val="none" w:sz="0" w:space="0" w:color="auto"/>
                                          </w:divBdr>
                                          <w:divsChild>
                                            <w:div w:id="1194611911">
                                              <w:marLeft w:val="0"/>
                                              <w:marRight w:val="0"/>
                                              <w:marTop w:val="0"/>
                                              <w:marBottom w:val="0"/>
                                              <w:divBdr>
                                                <w:top w:val="none" w:sz="0" w:space="0" w:color="auto"/>
                                                <w:left w:val="none" w:sz="0" w:space="0" w:color="auto"/>
                                                <w:bottom w:val="none" w:sz="0" w:space="0" w:color="auto"/>
                                                <w:right w:val="none" w:sz="0" w:space="0" w:color="auto"/>
                                              </w:divBdr>
                                            </w:div>
                                            <w:div w:id="1194611972">
                                              <w:marLeft w:val="0"/>
                                              <w:marRight w:val="0"/>
                                              <w:marTop w:val="0"/>
                                              <w:marBottom w:val="0"/>
                                              <w:divBdr>
                                                <w:top w:val="none" w:sz="0" w:space="0" w:color="auto"/>
                                                <w:left w:val="none" w:sz="0" w:space="0" w:color="auto"/>
                                                <w:bottom w:val="none" w:sz="0" w:space="0" w:color="auto"/>
                                                <w:right w:val="none" w:sz="0" w:space="0" w:color="auto"/>
                                              </w:divBdr>
                                            </w:div>
                                            <w:div w:id="1194612011">
                                              <w:marLeft w:val="0"/>
                                              <w:marRight w:val="0"/>
                                              <w:marTop w:val="0"/>
                                              <w:marBottom w:val="0"/>
                                              <w:divBdr>
                                                <w:top w:val="none" w:sz="0" w:space="0" w:color="auto"/>
                                                <w:left w:val="none" w:sz="0" w:space="0" w:color="auto"/>
                                                <w:bottom w:val="none" w:sz="0" w:space="0" w:color="auto"/>
                                                <w:right w:val="none" w:sz="0" w:space="0" w:color="auto"/>
                                              </w:divBdr>
                                            </w:div>
                                          </w:divsChild>
                                        </w:div>
                                        <w:div w:id="1194611959">
                                          <w:marLeft w:val="0"/>
                                          <w:marRight w:val="0"/>
                                          <w:marTop w:val="0"/>
                                          <w:marBottom w:val="0"/>
                                          <w:divBdr>
                                            <w:top w:val="none" w:sz="0" w:space="0" w:color="auto"/>
                                            <w:left w:val="none" w:sz="0" w:space="0" w:color="auto"/>
                                            <w:bottom w:val="none" w:sz="0" w:space="0" w:color="auto"/>
                                            <w:right w:val="none" w:sz="0" w:space="0" w:color="auto"/>
                                          </w:divBdr>
                                        </w:div>
                                        <w:div w:id="1194611997">
                                          <w:marLeft w:val="0"/>
                                          <w:marRight w:val="0"/>
                                          <w:marTop w:val="0"/>
                                          <w:marBottom w:val="0"/>
                                          <w:divBdr>
                                            <w:top w:val="none" w:sz="0" w:space="0" w:color="auto"/>
                                            <w:left w:val="none" w:sz="0" w:space="0" w:color="auto"/>
                                            <w:bottom w:val="none" w:sz="0" w:space="0" w:color="auto"/>
                                            <w:right w:val="none" w:sz="0" w:space="0" w:color="auto"/>
                                          </w:divBdr>
                                          <w:divsChild>
                                            <w:div w:id="1194611899">
                                              <w:marLeft w:val="0"/>
                                              <w:marRight w:val="0"/>
                                              <w:marTop w:val="0"/>
                                              <w:marBottom w:val="0"/>
                                              <w:divBdr>
                                                <w:top w:val="none" w:sz="0" w:space="0" w:color="auto"/>
                                                <w:left w:val="none" w:sz="0" w:space="0" w:color="auto"/>
                                                <w:bottom w:val="none" w:sz="0" w:space="0" w:color="auto"/>
                                                <w:right w:val="none" w:sz="0" w:space="0" w:color="auto"/>
                                              </w:divBdr>
                                            </w:div>
                                            <w:div w:id="1194611904">
                                              <w:marLeft w:val="0"/>
                                              <w:marRight w:val="0"/>
                                              <w:marTop w:val="0"/>
                                              <w:marBottom w:val="0"/>
                                              <w:divBdr>
                                                <w:top w:val="none" w:sz="0" w:space="0" w:color="auto"/>
                                                <w:left w:val="none" w:sz="0" w:space="0" w:color="auto"/>
                                                <w:bottom w:val="none" w:sz="0" w:space="0" w:color="auto"/>
                                                <w:right w:val="none" w:sz="0" w:space="0" w:color="auto"/>
                                              </w:divBdr>
                                            </w:div>
                                            <w:div w:id="1194611925">
                                              <w:marLeft w:val="0"/>
                                              <w:marRight w:val="0"/>
                                              <w:marTop w:val="0"/>
                                              <w:marBottom w:val="0"/>
                                              <w:divBdr>
                                                <w:top w:val="none" w:sz="0" w:space="0" w:color="auto"/>
                                                <w:left w:val="none" w:sz="0" w:space="0" w:color="auto"/>
                                                <w:bottom w:val="none" w:sz="0" w:space="0" w:color="auto"/>
                                                <w:right w:val="none" w:sz="0" w:space="0" w:color="auto"/>
                                              </w:divBdr>
                                            </w:div>
                                            <w:div w:id="1194611939">
                                              <w:marLeft w:val="0"/>
                                              <w:marRight w:val="0"/>
                                              <w:marTop w:val="0"/>
                                              <w:marBottom w:val="0"/>
                                              <w:divBdr>
                                                <w:top w:val="none" w:sz="0" w:space="0" w:color="auto"/>
                                                <w:left w:val="none" w:sz="0" w:space="0" w:color="auto"/>
                                                <w:bottom w:val="none" w:sz="0" w:space="0" w:color="auto"/>
                                                <w:right w:val="none" w:sz="0" w:space="0" w:color="auto"/>
                                              </w:divBdr>
                                              <w:divsChild>
                                                <w:div w:id="1194611937">
                                                  <w:marLeft w:val="0"/>
                                                  <w:marRight w:val="0"/>
                                                  <w:marTop w:val="0"/>
                                                  <w:marBottom w:val="0"/>
                                                  <w:divBdr>
                                                    <w:top w:val="none" w:sz="0" w:space="0" w:color="auto"/>
                                                    <w:left w:val="none" w:sz="0" w:space="0" w:color="auto"/>
                                                    <w:bottom w:val="none" w:sz="0" w:space="0" w:color="auto"/>
                                                    <w:right w:val="none" w:sz="0" w:space="0" w:color="auto"/>
                                                  </w:divBdr>
                                                </w:div>
                                                <w:div w:id="1194611996">
                                                  <w:marLeft w:val="0"/>
                                                  <w:marRight w:val="0"/>
                                                  <w:marTop w:val="0"/>
                                                  <w:marBottom w:val="0"/>
                                                  <w:divBdr>
                                                    <w:top w:val="none" w:sz="0" w:space="0" w:color="auto"/>
                                                    <w:left w:val="none" w:sz="0" w:space="0" w:color="auto"/>
                                                    <w:bottom w:val="none" w:sz="0" w:space="0" w:color="auto"/>
                                                    <w:right w:val="none" w:sz="0" w:space="0" w:color="auto"/>
                                                  </w:divBdr>
                                                </w:div>
                                              </w:divsChild>
                                            </w:div>
                                            <w:div w:id="1194611940">
                                              <w:marLeft w:val="0"/>
                                              <w:marRight w:val="0"/>
                                              <w:marTop w:val="0"/>
                                              <w:marBottom w:val="0"/>
                                              <w:divBdr>
                                                <w:top w:val="none" w:sz="0" w:space="0" w:color="auto"/>
                                                <w:left w:val="none" w:sz="0" w:space="0" w:color="auto"/>
                                                <w:bottom w:val="none" w:sz="0" w:space="0" w:color="auto"/>
                                                <w:right w:val="none" w:sz="0" w:space="0" w:color="auto"/>
                                              </w:divBdr>
                                            </w:div>
                                            <w:div w:id="1194611953">
                                              <w:marLeft w:val="0"/>
                                              <w:marRight w:val="0"/>
                                              <w:marTop w:val="0"/>
                                              <w:marBottom w:val="0"/>
                                              <w:divBdr>
                                                <w:top w:val="none" w:sz="0" w:space="0" w:color="auto"/>
                                                <w:left w:val="none" w:sz="0" w:space="0" w:color="auto"/>
                                                <w:bottom w:val="none" w:sz="0" w:space="0" w:color="auto"/>
                                                <w:right w:val="none" w:sz="0" w:space="0" w:color="auto"/>
                                              </w:divBdr>
                                            </w:div>
                                            <w:div w:id="1194611961">
                                              <w:marLeft w:val="0"/>
                                              <w:marRight w:val="0"/>
                                              <w:marTop w:val="0"/>
                                              <w:marBottom w:val="0"/>
                                              <w:divBdr>
                                                <w:top w:val="none" w:sz="0" w:space="0" w:color="auto"/>
                                                <w:left w:val="none" w:sz="0" w:space="0" w:color="auto"/>
                                                <w:bottom w:val="none" w:sz="0" w:space="0" w:color="auto"/>
                                                <w:right w:val="none" w:sz="0" w:space="0" w:color="auto"/>
                                              </w:divBdr>
                                            </w:div>
                                            <w:div w:id="1194611964">
                                              <w:marLeft w:val="0"/>
                                              <w:marRight w:val="0"/>
                                              <w:marTop w:val="0"/>
                                              <w:marBottom w:val="0"/>
                                              <w:divBdr>
                                                <w:top w:val="none" w:sz="0" w:space="0" w:color="auto"/>
                                                <w:left w:val="none" w:sz="0" w:space="0" w:color="auto"/>
                                                <w:bottom w:val="none" w:sz="0" w:space="0" w:color="auto"/>
                                                <w:right w:val="none" w:sz="0" w:space="0" w:color="auto"/>
                                              </w:divBdr>
                                            </w:div>
                                            <w:div w:id="1194611967">
                                              <w:marLeft w:val="0"/>
                                              <w:marRight w:val="0"/>
                                              <w:marTop w:val="0"/>
                                              <w:marBottom w:val="0"/>
                                              <w:divBdr>
                                                <w:top w:val="none" w:sz="0" w:space="0" w:color="auto"/>
                                                <w:left w:val="none" w:sz="0" w:space="0" w:color="auto"/>
                                                <w:bottom w:val="none" w:sz="0" w:space="0" w:color="auto"/>
                                                <w:right w:val="none" w:sz="0" w:space="0" w:color="auto"/>
                                              </w:divBdr>
                                            </w:div>
                                            <w:div w:id="1194611975">
                                              <w:marLeft w:val="0"/>
                                              <w:marRight w:val="0"/>
                                              <w:marTop w:val="0"/>
                                              <w:marBottom w:val="0"/>
                                              <w:divBdr>
                                                <w:top w:val="none" w:sz="0" w:space="0" w:color="auto"/>
                                                <w:left w:val="none" w:sz="0" w:space="0" w:color="auto"/>
                                                <w:bottom w:val="none" w:sz="0" w:space="0" w:color="auto"/>
                                                <w:right w:val="none" w:sz="0" w:space="0" w:color="auto"/>
                                              </w:divBdr>
                                            </w:div>
                                            <w:div w:id="1194611980">
                                              <w:marLeft w:val="0"/>
                                              <w:marRight w:val="0"/>
                                              <w:marTop w:val="0"/>
                                              <w:marBottom w:val="0"/>
                                              <w:divBdr>
                                                <w:top w:val="none" w:sz="0" w:space="0" w:color="auto"/>
                                                <w:left w:val="none" w:sz="0" w:space="0" w:color="auto"/>
                                                <w:bottom w:val="none" w:sz="0" w:space="0" w:color="auto"/>
                                                <w:right w:val="none" w:sz="0" w:space="0" w:color="auto"/>
                                              </w:divBdr>
                                            </w:div>
                                            <w:div w:id="1194611988">
                                              <w:marLeft w:val="0"/>
                                              <w:marRight w:val="0"/>
                                              <w:marTop w:val="0"/>
                                              <w:marBottom w:val="0"/>
                                              <w:divBdr>
                                                <w:top w:val="none" w:sz="0" w:space="0" w:color="auto"/>
                                                <w:left w:val="none" w:sz="0" w:space="0" w:color="auto"/>
                                                <w:bottom w:val="none" w:sz="0" w:space="0" w:color="auto"/>
                                                <w:right w:val="none" w:sz="0" w:space="0" w:color="auto"/>
                                              </w:divBdr>
                                            </w:div>
                                            <w:div w:id="1194611999">
                                              <w:marLeft w:val="0"/>
                                              <w:marRight w:val="0"/>
                                              <w:marTop w:val="0"/>
                                              <w:marBottom w:val="0"/>
                                              <w:divBdr>
                                                <w:top w:val="none" w:sz="0" w:space="0" w:color="auto"/>
                                                <w:left w:val="none" w:sz="0" w:space="0" w:color="auto"/>
                                                <w:bottom w:val="none" w:sz="0" w:space="0" w:color="auto"/>
                                                <w:right w:val="none" w:sz="0" w:space="0" w:color="auto"/>
                                              </w:divBdr>
                                            </w:div>
                                            <w:div w:id="1194612002">
                                              <w:marLeft w:val="0"/>
                                              <w:marRight w:val="0"/>
                                              <w:marTop w:val="0"/>
                                              <w:marBottom w:val="0"/>
                                              <w:divBdr>
                                                <w:top w:val="none" w:sz="0" w:space="0" w:color="auto"/>
                                                <w:left w:val="none" w:sz="0" w:space="0" w:color="auto"/>
                                                <w:bottom w:val="none" w:sz="0" w:space="0" w:color="auto"/>
                                                <w:right w:val="none" w:sz="0" w:space="0" w:color="auto"/>
                                              </w:divBdr>
                                            </w:div>
                                            <w:div w:id="11946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612008">
      <w:marLeft w:val="0"/>
      <w:marRight w:val="0"/>
      <w:marTop w:val="0"/>
      <w:marBottom w:val="0"/>
      <w:divBdr>
        <w:top w:val="none" w:sz="0" w:space="0" w:color="auto"/>
        <w:left w:val="none" w:sz="0" w:space="0" w:color="auto"/>
        <w:bottom w:val="none" w:sz="0" w:space="0" w:color="auto"/>
        <w:right w:val="none" w:sz="0" w:space="0" w:color="auto"/>
      </w:divBdr>
      <w:divsChild>
        <w:div w:id="1194611921">
          <w:marLeft w:val="0"/>
          <w:marRight w:val="0"/>
          <w:marTop w:val="0"/>
          <w:marBottom w:val="0"/>
          <w:divBdr>
            <w:top w:val="none" w:sz="0" w:space="0" w:color="auto"/>
            <w:left w:val="none" w:sz="0" w:space="0" w:color="auto"/>
            <w:bottom w:val="none" w:sz="0" w:space="0" w:color="auto"/>
            <w:right w:val="none" w:sz="0" w:space="0" w:color="auto"/>
          </w:divBdr>
          <w:divsChild>
            <w:div w:id="1194611907">
              <w:marLeft w:val="0"/>
              <w:marRight w:val="0"/>
              <w:marTop w:val="0"/>
              <w:marBottom w:val="0"/>
              <w:divBdr>
                <w:top w:val="none" w:sz="0" w:space="0" w:color="auto"/>
                <w:left w:val="none" w:sz="0" w:space="0" w:color="auto"/>
                <w:bottom w:val="none" w:sz="0" w:space="0" w:color="auto"/>
                <w:right w:val="none" w:sz="0" w:space="0" w:color="auto"/>
              </w:divBdr>
              <w:divsChild>
                <w:div w:id="1194611938">
                  <w:marLeft w:val="0"/>
                  <w:marRight w:val="0"/>
                  <w:marTop w:val="187"/>
                  <w:marBottom w:val="187"/>
                  <w:divBdr>
                    <w:top w:val="none" w:sz="0" w:space="0" w:color="auto"/>
                    <w:left w:val="none" w:sz="0" w:space="0" w:color="auto"/>
                    <w:bottom w:val="none" w:sz="0" w:space="0" w:color="auto"/>
                    <w:right w:val="single" w:sz="2" w:space="0" w:color="E8E8E8"/>
                  </w:divBdr>
                </w:div>
              </w:divsChild>
            </w:div>
          </w:divsChild>
        </w:div>
      </w:divsChild>
    </w:div>
    <w:div w:id="1194612009">
      <w:marLeft w:val="0"/>
      <w:marRight w:val="0"/>
      <w:marTop w:val="0"/>
      <w:marBottom w:val="0"/>
      <w:divBdr>
        <w:top w:val="none" w:sz="0" w:space="0" w:color="auto"/>
        <w:left w:val="none" w:sz="0" w:space="0" w:color="auto"/>
        <w:bottom w:val="none" w:sz="0" w:space="0" w:color="auto"/>
        <w:right w:val="none" w:sz="0" w:space="0" w:color="auto"/>
      </w:divBdr>
      <w:divsChild>
        <w:div w:id="1194611957">
          <w:marLeft w:val="0"/>
          <w:marRight w:val="0"/>
          <w:marTop w:val="0"/>
          <w:marBottom w:val="561"/>
          <w:divBdr>
            <w:top w:val="none" w:sz="0" w:space="0" w:color="auto"/>
            <w:left w:val="none" w:sz="0" w:space="0" w:color="auto"/>
            <w:bottom w:val="none" w:sz="0" w:space="0" w:color="auto"/>
            <w:right w:val="none" w:sz="0" w:space="0" w:color="auto"/>
          </w:divBdr>
          <w:divsChild>
            <w:div w:id="1194611955">
              <w:marLeft w:val="0"/>
              <w:marRight w:val="0"/>
              <w:marTop w:val="0"/>
              <w:marBottom w:val="0"/>
              <w:divBdr>
                <w:top w:val="none" w:sz="0" w:space="0" w:color="auto"/>
                <w:left w:val="none" w:sz="0" w:space="0" w:color="auto"/>
                <w:bottom w:val="none" w:sz="0" w:space="0" w:color="auto"/>
                <w:right w:val="none" w:sz="0" w:space="0" w:color="auto"/>
              </w:divBdr>
              <w:divsChild>
                <w:div w:id="1194611966">
                  <w:marLeft w:val="0"/>
                  <w:marRight w:val="0"/>
                  <w:marTop w:val="0"/>
                  <w:marBottom w:val="0"/>
                  <w:divBdr>
                    <w:top w:val="none" w:sz="0" w:space="0" w:color="auto"/>
                    <w:left w:val="none" w:sz="0" w:space="0" w:color="auto"/>
                    <w:bottom w:val="none" w:sz="0" w:space="0" w:color="auto"/>
                    <w:right w:val="none" w:sz="0" w:space="0" w:color="auto"/>
                  </w:divBdr>
                  <w:divsChild>
                    <w:div w:id="1194611931">
                      <w:marLeft w:val="0"/>
                      <w:marRight w:val="0"/>
                      <w:marTop w:val="0"/>
                      <w:marBottom w:val="0"/>
                      <w:divBdr>
                        <w:top w:val="none" w:sz="0" w:space="0" w:color="auto"/>
                        <w:left w:val="none" w:sz="0" w:space="0" w:color="auto"/>
                        <w:bottom w:val="none" w:sz="0" w:space="0" w:color="auto"/>
                        <w:right w:val="none" w:sz="0" w:space="0" w:color="auto"/>
                      </w:divBdr>
                      <w:divsChild>
                        <w:div w:id="1194611913">
                          <w:marLeft w:val="0"/>
                          <w:marRight w:val="0"/>
                          <w:marTop w:val="0"/>
                          <w:marBottom w:val="0"/>
                          <w:divBdr>
                            <w:top w:val="none" w:sz="0" w:space="0" w:color="auto"/>
                            <w:left w:val="none" w:sz="0" w:space="0" w:color="auto"/>
                            <w:bottom w:val="none" w:sz="0" w:space="0" w:color="auto"/>
                            <w:right w:val="none" w:sz="0" w:space="0" w:color="auto"/>
                          </w:divBdr>
                          <w:divsChild>
                            <w:div w:id="1194611965">
                              <w:marLeft w:val="0"/>
                              <w:marRight w:val="0"/>
                              <w:marTop w:val="0"/>
                              <w:marBottom w:val="0"/>
                              <w:divBdr>
                                <w:top w:val="none" w:sz="0" w:space="0" w:color="auto"/>
                                <w:left w:val="none" w:sz="0" w:space="0" w:color="auto"/>
                                <w:bottom w:val="none" w:sz="0" w:space="0" w:color="auto"/>
                                <w:right w:val="none" w:sz="0" w:space="0" w:color="auto"/>
                              </w:divBdr>
                              <w:divsChild>
                                <w:div w:id="1194611909">
                                  <w:marLeft w:val="0"/>
                                  <w:marRight w:val="0"/>
                                  <w:marTop w:val="0"/>
                                  <w:marBottom w:val="0"/>
                                  <w:divBdr>
                                    <w:top w:val="none" w:sz="0" w:space="0" w:color="auto"/>
                                    <w:left w:val="none" w:sz="0" w:space="0" w:color="auto"/>
                                    <w:bottom w:val="none" w:sz="0" w:space="0" w:color="auto"/>
                                    <w:right w:val="none" w:sz="0" w:space="0" w:color="auto"/>
                                  </w:divBdr>
                                  <w:divsChild>
                                    <w:div w:id="119461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326650">
      <w:bodyDiv w:val="1"/>
      <w:marLeft w:val="0"/>
      <w:marRight w:val="0"/>
      <w:marTop w:val="0"/>
      <w:marBottom w:val="0"/>
      <w:divBdr>
        <w:top w:val="none" w:sz="0" w:space="0" w:color="auto"/>
        <w:left w:val="none" w:sz="0" w:space="0" w:color="auto"/>
        <w:bottom w:val="none" w:sz="0" w:space="0" w:color="auto"/>
        <w:right w:val="none" w:sz="0" w:space="0" w:color="auto"/>
      </w:divBdr>
    </w:div>
    <w:div w:id="1544558665">
      <w:bodyDiv w:val="1"/>
      <w:marLeft w:val="0"/>
      <w:marRight w:val="0"/>
      <w:marTop w:val="0"/>
      <w:marBottom w:val="0"/>
      <w:divBdr>
        <w:top w:val="none" w:sz="0" w:space="0" w:color="auto"/>
        <w:left w:val="none" w:sz="0" w:space="0" w:color="auto"/>
        <w:bottom w:val="none" w:sz="0" w:space="0" w:color="auto"/>
        <w:right w:val="none" w:sz="0" w:space="0" w:color="auto"/>
      </w:divBdr>
    </w:div>
    <w:div w:id="1799377825">
      <w:bodyDiv w:val="1"/>
      <w:marLeft w:val="0"/>
      <w:marRight w:val="0"/>
      <w:marTop w:val="0"/>
      <w:marBottom w:val="0"/>
      <w:divBdr>
        <w:top w:val="none" w:sz="0" w:space="0" w:color="auto"/>
        <w:left w:val="none" w:sz="0" w:space="0" w:color="auto"/>
        <w:bottom w:val="none" w:sz="0" w:space="0" w:color="auto"/>
        <w:right w:val="none" w:sz="0" w:space="0" w:color="auto"/>
      </w:divBdr>
    </w:div>
    <w:div w:id="1818690059">
      <w:marLeft w:val="0"/>
      <w:marRight w:val="0"/>
      <w:marTop w:val="0"/>
      <w:marBottom w:val="0"/>
      <w:divBdr>
        <w:top w:val="none" w:sz="0" w:space="0" w:color="auto"/>
        <w:left w:val="none" w:sz="0" w:space="0" w:color="auto"/>
        <w:bottom w:val="none" w:sz="0" w:space="0" w:color="auto"/>
        <w:right w:val="none" w:sz="0" w:space="0" w:color="auto"/>
      </w:divBdr>
    </w:div>
    <w:div w:id="1837263393">
      <w:bodyDiv w:val="1"/>
      <w:marLeft w:val="0"/>
      <w:marRight w:val="0"/>
      <w:marTop w:val="0"/>
      <w:marBottom w:val="0"/>
      <w:divBdr>
        <w:top w:val="none" w:sz="0" w:space="0" w:color="auto"/>
        <w:left w:val="none" w:sz="0" w:space="0" w:color="auto"/>
        <w:bottom w:val="none" w:sz="0" w:space="0" w:color="auto"/>
        <w:right w:val="none" w:sz="0" w:space="0" w:color="auto"/>
      </w:divBdr>
    </w:div>
    <w:div w:id="1965425389">
      <w:bodyDiv w:val="1"/>
      <w:marLeft w:val="0"/>
      <w:marRight w:val="0"/>
      <w:marTop w:val="0"/>
      <w:marBottom w:val="0"/>
      <w:divBdr>
        <w:top w:val="none" w:sz="0" w:space="0" w:color="auto"/>
        <w:left w:val="none" w:sz="0" w:space="0" w:color="auto"/>
        <w:bottom w:val="none" w:sz="0" w:space="0" w:color="auto"/>
        <w:right w:val="none" w:sz="0" w:space="0" w:color="auto"/>
      </w:divBdr>
    </w:div>
    <w:div w:id="1990553586">
      <w:bodyDiv w:val="1"/>
      <w:marLeft w:val="0"/>
      <w:marRight w:val="0"/>
      <w:marTop w:val="0"/>
      <w:marBottom w:val="0"/>
      <w:divBdr>
        <w:top w:val="none" w:sz="0" w:space="0" w:color="auto"/>
        <w:left w:val="none" w:sz="0" w:space="0" w:color="auto"/>
        <w:bottom w:val="none" w:sz="0" w:space="0" w:color="auto"/>
        <w:right w:val="none" w:sz="0" w:space="0" w:color="auto"/>
      </w:divBdr>
    </w:div>
    <w:div w:id="208688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Diapositiva_de_Microsoft_Office_PowerPoint41.sldx"/><Relationship Id="rId21" Type="http://schemas.openxmlformats.org/officeDocument/2006/relationships/image" Target="media/image8.emf"/><Relationship Id="rId42" Type="http://schemas.openxmlformats.org/officeDocument/2006/relationships/image" Target="media/image19.emf"/><Relationship Id="rId63" Type="http://schemas.openxmlformats.org/officeDocument/2006/relationships/package" Target="embeddings/Diapositiva_de_Microsoft_Office_PowerPoint28.sldx"/><Relationship Id="rId84" Type="http://schemas.openxmlformats.org/officeDocument/2006/relationships/image" Target="media/image40.emf"/><Relationship Id="rId138" Type="http://schemas.openxmlformats.org/officeDocument/2006/relationships/image" Target="media/image88.jpeg"/><Relationship Id="rId159" Type="http://schemas.openxmlformats.org/officeDocument/2006/relationships/hyperlink" Target="http://www.conac.gob.mx/documentos/guion_041110.pdf" TargetMode="External"/><Relationship Id="rId170" Type="http://schemas.openxmlformats.org/officeDocument/2006/relationships/hyperlink" Target="http://www.conac.gob.mx/documentos/consejo/Acta_3_sesion_151210.pdf" TargetMode="External"/><Relationship Id="rId191" Type="http://schemas.openxmlformats.org/officeDocument/2006/relationships/image" Target="media/image97.jpeg"/><Relationship Id="rId205" Type="http://schemas.openxmlformats.org/officeDocument/2006/relationships/hyperlink" Target="http://www.conac.gob.mx/documentos/consejo/pc.pdf" TargetMode="External"/><Relationship Id="rId226" Type="http://schemas.openxmlformats.org/officeDocument/2006/relationships/hyperlink" Target="http://www.conac.gob.mx/documentos/consejo/clasificacion_economica.pdf" TargetMode="External"/><Relationship Id="rId107" Type="http://schemas.openxmlformats.org/officeDocument/2006/relationships/image" Target="media/image61.png"/><Relationship Id="rId11" Type="http://schemas.openxmlformats.org/officeDocument/2006/relationships/image" Target="media/image3.emf"/><Relationship Id="rId32" Type="http://schemas.openxmlformats.org/officeDocument/2006/relationships/package" Target="embeddings/Diapositiva_de_Microsoft_Office_PowerPoint13.sldx"/><Relationship Id="rId53" Type="http://schemas.openxmlformats.org/officeDocument/2006/relationships/package" Target="embeddings/Diapositiva_de_Microsoft_Office_PowerPoint23.sldx"/><Relationship Id="rId74" Type="http://schemas.openxmlformats.org/officeDocument/2006/relationships/image" Target="media/image35.emf"/><Relationship Id="rId128" Type="http://schemas.openxmlformats.org/officeDocument/2006/relationships/image" Target="media/image81.png"/><Relationship Id="rId149" Type="http://schemas.openxmlformats.org/officeDocument/2006/relationships/image" Target="media/image90.jpeg"/><Relationship Id="rId5" Type="http://schemas.openxmlformats.org/officeDocument/2006/relationships/footnotes" Target="footnotes.xml"/><Relationship Id="rId95" Type="http://schemas.openxmlformats.org/officeDocument/2006/relationships/image" Target="media/image49.emf"/><Relationship Id="rId160" Type="http://schemas.openxmlformats.org/officeDocument/2006/relationships/hyperlink" Target="http://www.conac.gob.mx/documentos/agenda_conac_28052010.pdf" TargetMode="External"/><Relationship Id="rId181" Type="http://schemas.openxmlformats.org/officeDocument/2006/relationships/image" Target="media/image94.jpeg"/><Relationship Id="rId216" Type="http://schemas.openxmlformats.org/officeDocument/2006/relationships/hyperlink" Target="http://www.conac.gob.mx/documentos/consejo/plan_cuentas.pdf" TargetMode="External"/><Relationship Id="rId237" Type="http://schemas.openxmlformats.org/officeDocument/2006/relationships/image" Target="media/image107.emf"/><Relationship Id="rId22" Type="http://schemas.openxmlformats.org/officeDocument/2006/relationships/package" Target="embeddings/Diapositiva_de_Microsoft_Office_PowerPoint8.sldx"/><Relationship Id="rId43" Type="http://schemas.openxmlformats.org/officeDocument/2006/relationships/package" Target="embeddings/Diapositiva_de_Microsoft_Office_PowerPoint18.sldx"/><Relationship Id="rId64" Type="http://schemas.openxmlformats.org/officeDocument/2006/relationships/image" Target="media/image30.emf"/><Relationship Id="rId118" Type="http://schemas.openxmlformats.org/officeDocument/2006/relationships/image" Target="media/image71.png"/><Relationship Id="rId139" Type="http://schemas.openxmlformats.org/officeDocument/2006/relationships/image" Target="media/image89.gif"/><Relationship Id="rId85" Type="http://schemas.openxmlformats.org/officeDocument/2006/relationships/package" Target="embeddings/Diapositiva_de_Microsoft_Office_PowerPoint39.sldx"/><Relationship Id="rId150" Type="http://schemas.openxmlformats.org/officeDocument/2006/relationships/image" Target="media/image91.gif"/><Relationship Id="rId171" Type="http://schemas.openxmlformats.org/officeDocument/2006/relationships/hyperlink" Target="http://www.conac.gob.mx/documentos/acta_041110.pdf" TargetMode="External"/><Relationship Id="rId192" Type="http://schemas.openxmlformats.org/officeDocument/2006/relationships/hyperlink" Target="http://www.conac.gob.mx/documentos/consejo/21_septiembre_2011.pdf" TargetMode="External"/><Relationship Id="rId206" Type="http://schemas.openxmlformats.org/officeDocument/2006/relationships/hyperlink" Target="http://www.conac.gob.mx/documentos/consejo/nor_mci.pdf" TargetMode="External"/><Relationship Id="rId227" Type="http://schemas.openxmlformats.org/officeDocument/2006/relationships/hyperlink" Target="http://www.conac.gob.mx/documentos/consejo/lineamientos_libros.pdf" TargetMode="External"/><Relationship Id="rId201" Type="http://schemas.openxmlformats.org/officeDocument/2006/relationships/hyperlink" Target="http://www.conac.gob.mx/documentos/consejo/pbcg.pdf" TargetMode="External"/><Relationship Id="rId222" Type="http://schemas.openxmlformats.org/officeDocument/2006/relationships/hyperlink" Target="http://www.conac.gob.mx/documentos/consejo/prrvp_eg.pdf" TargetMode="External"/><Relationship Id="rId243" Type="http://schemas.openxmlformats.org/officeDocument/2006/relationships/fontTable" Target="fontTable.xml"/><Relationship Id="rId12" Type="http://schemas.openxmlformats.org/officeDocument/2006/relationships/package" Target="embeddings/Diapositiva_de_Microsoft_Office_PowerPoint3.sl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7.emf"/><Relationship Id="rId59" Type="http://schemas.openxmlformats.org/officeDocument/2006/relationships/package" Target="embeddings/Diapositiva_de_Microsoft_Office_PowerPoint26.sldx"/><Relationship Id="rId103" Type="http://schemas.openxmlformats.org/officeDocument/2006/relationships/image" Target="media/image57.png"/><Relationship Id="rId108" Type="http://schemas.openxmlformats.org/officeDocument/2006/relationships/image" Target="media/image62.png"/><Relationship Id="rId124" Type="http://schemas.openxmlformats.org/officeDocument/2006/relationships/image" Target="media/image77.png"/><Relationship Id="rId129" Type="http://schemas.openxmlformats.org/officeDocument/2006/relationships/hyperlink" Target="http://www.conac.gob.mx" TargetMode="External"/><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package" Target="embeddings/Diapositiva_de_Microsoft_Office_PowerPoint34.sldx"/><Relationship Id="rId91" Type="http://schemas.openxmlformats.org/officeDocument/2006/relationships/image" Target="media/image45.emf"/><Relationship Id="rId96" Type="http://schemas.openxmlformats.org/officeDocument/2006/relationships/image" Target="media/image50.emf"/><Relationship Id="rId140" Type="http://schemas.openxmlformats.org/officeDocument/2006/relationships/hyperlink" Target="http://www.conac.gob.mx/documentos/exposicion_motivos.doc" TargetMode="External"/><Relationship Id="rId145" Type="http://schemas.openxmlformats.org/officeDocument/2006/relationships/hyperlink" Target="http://www.conac.gob.mx/documentos/municipios.rar" TargetMode="External"/><Relationship Id="rId161" Type="http://schemas.openxmlformats.org/officeDocument/2006/relationships/hyperlink" Target="http://www.conac.gob.mx/documentos/guion_3_011209.pdf" TargetMode="External"/><Relationship Id="rId166" Type="http://schemas.openxmlformats.org/officeDocument/2006/relationships/hyperlink" Target="http://www.conac.gob.mx/documentos/consejo/actap_290212.pdf" TargetMode="External"/><Relationship Id="rId182" Type="http://schemas.openxmlformats.org/officeDocument/2006/relationships/image" Target="media/image95.gif"/><Relationship Id="rId187" Type="http://schemas.openxmlformats.org/officeDocument/2006/relationships/hyperlink" Target="http://www.conac.gob.mx/documentos/consejo/oficio_lineamientos_conac_paraestatal.pdf" TargetMode="External"/><Relationship Id="rId217" Type="http://schemas.openxmlformats.org/officeDocument/2006/relationships/hyperlink" Target="http://www.conac.gob.mx/documentos/consejo/instructivos.pdf"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conac.gob.mx/documentos/consejo/acuerdo.pdf" TargetMode="External"/><Relationship Id="rId233" Type="http://schemas.openxmlformats.org/officeDocument/2006/relationships/image" Target="media/image103.emf"/><Relationship Id="rId238" Type="http://schemas.openxmlformats.org/officeDocument/2006/relationships/image" Target="media/image108.emf"/><Relationship Id="rId23" Type="http://schemas.openxmlformats.org/officeDocument/2006/relationships/image" Target="media/image9.emf"/><Relationship Id="rId28" Type="http://schemas.openxmlformats.org/officeDocument/2006/relationships/package" Target="embeddings/Diapositiva_de_Microsoft_Office_PowerPoint11.sldx"/><Relationship Id="rId49" Type="http://schemas.openxmlformats.org/officeDocument/2006/relationships/package" Target="embeddings/Diapositiva_de_Microsoft_Office_PowerPoint21.sldx"/><Relationship Id="rId114" Type="http://schemas.openxmlformats.org/officeDocument/2006/relationships/image" Target="media/image68.png"/><Relationship Id="rId119" Type="http://schemas.openxmlformats.org/officeDocument/2006/relationships/image" Target="media/image72.png"/><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package" Target="embeddings/Diapositiva_de_Microsoft_Office_PowerPoint29.sldx"/><Relationship Id="rId81" Type="http://schemas.openxmlformats.org/officeDocument/2006/relationships/package" Target="embeddings/Diapositiva_de_Microsoft_Office_PowerPoint37.sldx"/><Relationship Id="rId86" Type="http://schemas.openxmlformats.org/officeDocument/2006/relationships/image" Target="media/image41.emf"/><Relationship Id="rId130" Type="http://schemas.openxmlformats.org/officeDocument/2006/relationships/image" Target="media/image82.jpeg"/><Relationship Id="rId135" Type="http://schemas.openxmlformats.org/officeDocument/2006/relationships/image" Target="media/image87.gif"/><Relationship Id="rId151" Type="http://schemas.openxmlformats.org/officeDocument/2006/relationships/hyperlink" Target="http://www.conac.gob.mx/consejo.html" TargetMode="External"/><Relationship Id="rId156" Type="http://schemas.openxmlformats.org/officeDocument/2006/relationships/hyperlink" Target="http://www.conac.gob.mx/documentos/consejo/Guion_310811.pdf" TargetMode="External"/><Relationship Id="rId177" Type="http://schemas.openxmlformats.org/officeDocument/2006/relationships/image" Target="media/image92.jpeg"/><Relationship Id="rId198" Type="http://schemas.openxmlformats.org/officeDocument/2006/relationships/image" Target="media/image100.jpeg"/><Relationship Id="rId172" Type="http://schemas.openxmlformats.org/officeDocument/2006/relationships/hyperlink" Target="http://www.conac.gob.mx/documentos/acta_conac_28052010.pdf" TargetMode="External"/><Relationship Id="rId193" Type="http://schemas.openxmlformats.org/officeDocument/2006/relationships/hyperlink" Target="http://www.conac.gob.mx/documentos/consejo/26_julio_2011.pdf" TargetMode="External"/><Relationship Id="rId202" Type="http://schemas.openxmlformats.org/officeDocument/2006/relationships/hyperlink" Target="http://www.conac.gob.mx/documentos/consejo/mce.pdf" TargetMode="External"/><Relationship Id="rId207" Type="http://schemas.openxmlformats.org/officeDocument/2006/relationships/hyperlink" Target="http://www.conac.gob.mx/documentos/consejo/nor_info_fin.pdf" TargetMode="External"/><Relationship Id="rId223" Type="http://schemas.openxmlformats.org/officeDocument/2006/relationships/hyperlink" Target="http://www.conac.gob.mx/documentos/consejo/cfg_ffs.pdf" TargetMode="External"/><Relationship Id="rId228" Type="http://schemas.openxmlformats.org/officeDocument/2006/relationships/hyperlink" Target="http://www.conac.gob.mx/documentos/consejo/catalogo_bienes_muebles.pdf" TargetMode="External"/><Relationship Id="rId244"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package" Target="embeddings/Diapositiva_de_Microsoft_Office_PowerPoint6.sldx"/><Relationship Id="rId39" Type="http://schemas.openxmlformats.org/officeDocument/2006/relationships/package" Target="embeddings/Diapositiva_de_Microsoft_Office_PowerPoint16.sldx"/><Relationship Id="rId109" Type="http://schemas.openxmlformats.org/officeDocument/2006/relationships/image" Target="media/image63.png"/><Relationship Id="rId34" Type="http://schemas.openxmlformats.org/officeDocument/2006/relationships/package" Target="embeddings/Diapositiva_de_Microsoft_Office_PowerPoint14.sldx"/><Relationship Id="rId50" Type="http://schemas.openxmlformats.org/officeDocument/2006/relationships/image" Target="media/image23.emf"/><Relationship Id="rId55" Type="http://schemas.openxmlformats.org/officeDocument/2006/relationships/package" Target="embeddings/Diapositiva_de_Microsoft_Office_PowerPoint24.sldx"/><Relationship Id="rId76" Type="http://schemas.openxmlformats.org/officeDocument/2006/relationships/image" Target="media/image36.emf"/><Relationship Id="rId97" Type="http://schemas.openxmlformats.org/officeDocument/2006/relationships/image" Target="media/image51.emf"/><Relationship Id="rId104" Type="http://schemas.openxmlformats.org/officeDocument/2006/relationships/image" Target="media/image58.png"/><Relationship Id="rId120" Type="http://schemas.openxmlformats.org/officeDocument/2006/relationships/image" Target="media/image73.png"/><Relationship Id="rId125" Type="http://schemas.openxmlformats.org/officeDocument/2006/relationships/image" Target="media/image78.png"/><Relationship Id="rId141" Type="http://schemas.openxmlformats.org/officeDocument/2006/relationships/hyperlink" Target="http://www.conac.gob.mx/documentos/leycontabilidad.pdf" TargetMode="External"/><Relationship Id="rId146" Type="http://schemas.openxmlformats.org/officeDocument/2006/relationships/hyperlink" Target="http://www.acopioucg.hacienda.gob.mx/acopioucg/CONAC/conac.jsp" TargetMode="External"/><Relationship Id="rId167" Type="http://schemas.openxmlformats.org/officeDocument/2006/relationships/hyperlink" Target="http://www.conac.gob.mx/documentos/consejo/acta_291111.pdf" TargetMode="External"/><Relationship Id="rId188" Type="http://schemas.openxmlformats.org/officeDocument/2006/relationships/hyperlink" Target="http://www.conac.gob.mx/documentos/consejo/metodologia_comparabilidad.pdf" TargetMode="External"/><Relationship Id="rId7" Type="http://schemas.openxmlformats.org/officeDocument/2006/relationships/image" Target="media/image1.emf"/><Relationship Id="rId71" Type="http://schemas.openxmlformats.org/officeDocument/2006/relationships/package" Target="embeddings/Diapositiva_de_Microsoft_Office_PowerPoint32.sldx"/><Relationship Id="rId92" Type="http://schemas.openxmlformats.org/officeDocument/2006/relationships/image" Target="media/image46.emf"/><Relationship Id="rId162" Type="http://schemas.openxmlformats.org/officeDocument/2006/relationships/hyperlink" Target="http://www.conac.gob.mx/documentos/consejo/agenda_2_sesion_130809.pdf" TargetMode="External"/><Relationship Id="rId183" Type="http://schemas.openxmlformats.org/officeDocument/2006/relationships/hyperlink" Target="http://www.conac.gob.mx/documentos/consejo/lineamientos_subsidios_2011.pdf" TargetMode="External"/><Relationship Id="rId213" Type="http://schemas.openxmlformats.org/officeDocument/2006/relationships/hyperlink" Target="http://www.conac.gob.mx/documentos/consejo/presentacion.pdf" TargetMode="External"/><Relationship Id="rId218" Type="http://schemas.openxmlformats.org/officeDocument/2006/relationships/hyperlink" Target="http://www.conac.gob.mx/documentos/consejo/modelos.pdf" TargetMode="External"/><Relationship Id="rId234" Type="http://schemas.openxmlformats.org/officeDocument/2006/relationships/image" Target="media/image104.emf"/><Relationship Id="rId239" Type="http://schemas.openxmlformats.org/officeDocument/2006/relationships/image" Target="media/image109.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package" Target="embeddings/Diapositiva_de_Microsoft_Office_PowerPoint9.sldx"/><Relationship Id="rId40" Type="http://schemas.openxmlformats.org/officeDocument/2006/relationships/image" Target="media/image18.emf"/><Relationship Id="rId45" Type="http://schemas.openxmlformats.org/officeDocument/2006/relationships/package" Target="embeddings/Diapositiva_de_Microsoft_Office_PowerPoint19.sldx"/><Relationship Id="rId66" Type="http://schemas.openxmlformats.org/officeDocument/2006/relationships/image" Target="media/image31.emf"/><Relationship Id="rId87" Type="http://schemas.openxmlformats.org/officeDocument/2006/relationships/package" Target="embeddings/Diapositiva_de_Microsoft_Office_PowerPoint40.sldx"/><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3.jpeg"/><Relationship Id="rId136" Type="http://schemas.openxmlformats.org/officeDocument/2006/relationships/hyperlink" Target="http://www.conac.gob.mx/documentos/consejo/consejo_conformacion.pdf" TargetMode="External"/><Relationship Id="rId157" Type="http://schemas.openxmlformats.org/officeDocument/2006/relationships/hyperlink" Target="http://www.conac.gob.mx/documentos/consejo/Guion_230611.pdf" TargetMode="External"/><Relationship Id="rId178" Type="http://schemas.openxmlformats.org/officeDocument/2006/relationships/image" Target="media/image93.jpeg"/><Relationship Id="rId61" Type="http://schemas.openxmlformats.org/officeDocument/2006/relationships/package" Target="embeddings/Diapositiva_de_Microsoft_Office_PowerPoint27.sldx"/><Relationship Id="rId82" Type="http://schemas.openxmlformats.org/officeDocument/2006/relationships/image" Target="media/image39.emf"/><Relationship Id="rId152" Type="http://schemas.openxmlformats.org/officeDocument/2006/relationships/hyperlink" Target="http://www.conac.gob.mx/consejo.html" TargetMode="External"/><Relationship Id="rId173" Type="http://schemas.openxmlformats.org/officeDocument/2006/relationships/hyperlink" Target="http://www.conac.gob.mx/documentos/acta_3_011209.pdf" TargetMode="External"/><Relationship Id="rId194" Type="http://schemas.openxmlformats.org/officeDocument/2006/relationships/hyperlink" Target="http://www.conac.gob.mx/documentos/consejo/10_junio_2011.pdf" TargetMode="External"/><Relationship Id="rId199" Type="http://schemas.openxmlformats.org/officeDocument/2006/relationships/image" Target="media/image101.gif"/><Relationship Id="rId203" Type="http://schemas.openxmlformats.org/officeDocument/2006/relationships/hyperlink" Target="http://www.conac.gob.mx/documentos/consejo/cog.pdf" TargetMode="External"/><Relationship Id="rId208" Type="http://schemas.openxmlformats.org/officeDocument/2006/relationships/hyperlink" Target="http://www.conac.gob.mx/documentos/consejo/clasificacion_objeto_gasto.pdf" TargetMode="External"/><Relationship Id="rId229" Type="http://schemas.openxmlformats.org/officeDocument/2006/relationships/hyperlink" Target="http://www.conac.gob.mx/documentos/consejo/lineamientos_inventarios.pdf" TargetMode="External"/><Relationship Id="rId19" Type="http://schemas.openxmlformats.org/officeDocument/2006/relationships/image" Target="media/image7.emf"/><Relationship Id="rId224" Type="http://schemas.openxmlformats.org/officeDocument/2006/relationships/hyperlink" Target="http://www.conac.gob.mx/documentos/consejo/mmfp.pdf" TargetMode="External"/><Relationship Id="rId240" Type="http://schemas.openxmlformats.org/officeDocument/2006/relationships/image" Target="media/image110.emf"/><Relationship Id="rId14" Type="http://schemas.openxmlformats.org/officeDocument/2006/relationships/package" Target="embeddings/Diapositiva_de_Microsoft_Office_PowerPoint4.sldx"/><Relationship Id="rId30" Type="http://schemas.openxmlformats.org/officeDocument/2006/relationships/package" Target="embeddings/Diapositiva_de_Microsoft_Office_PowerPoint12.sldx"/><Relationship Id="rId35" Type="http://schemas.openxmlformats.org/officeDocument/2006/relationships/image" Target="media/image15.png"/><Relationship Id="rId56" Type="http://schemas.openxmlformats.org/officeDocument/2006/relationships/image" Target="media/image26.emf"/><Relationship Id="rId77" Type="http://schemas.openxmlformats.org/officeDocument/2006/relationships/package" Target="embeddings/Diapositiva_de_Microsoft_Office_PowerPoint35.sldx"/><Relationship Id="rId100" Type="http://schemas.openxmlformats.org/officeDocument/2006/relationships/image" Target="media/image54.emf"/><Relationship Id="rId105" Type="http://schemas.openxmlformats.org/officeDocument/2006/relationships/image" Target="media/image59.png"/><Relationship Id="rId126" Type="http://schemas.openxmlformats.org/officeDocument/2006/relationships/image" Target="media/image79.emf"/><Relationship Id="rId147" Type="http://schemas.openxmlformats.org/officeDocument/2006/relationships/hyperlink" Target="http://www.conac.gob.mx/documentos/guia_envio_cuestionario.pdf" TargetMode="External"/><Relationship Id="rId168" Type="http://schemas.openxmlformats.org/officeDocument/2006/relationships/hyperlink" Target="http://www.conac.gob.mx/documentos/consejo/Acta_310811.pdf" TargetMode="External"/><Relationship Id="rId8" Type="http://schemas.openxmlformats.org/officeDocument/2006/relationships/package" Target="embeddings/Diapositiva_de_Microsoft_Office_PowerPoint1.sldx"/><Relationship Id="rId51" Type="http://schemas.openxmlformats.org/officeDocument/2006/relationships/package" Target="embeddings/Diapositiva_de_Microsoft_Office_PowerPoint22.sldx"/><Relationship Id="rId72" Type="http://schemas.openxmlformats.org/officeDocument/2006/relationships/image" Target="media/image34.emf"/><Relationship Id="rId93" Type="http://schemas.openxmlformats.org/officeDocument/2006/relationships/image" Target="media/image47.emf"/><Relationship Id="rId98" Type="http://schemas.openxmlformats.org/officeDocument/2006/relationships/image" Target="media/image52.emf"/><Relationship Id="rId121" Type="http://schemas.openxmlformats.org/officeDocument/2006/relationships/image" Target="media/image74.png"/><Relationship Id="rId142" Type="http://schemas.openxmlformats.org/officeDocument/2006/relationships/hyperlink" Target="http://www.conac.gob.mx/documentos/consejo/reglas_operacion_230611.pdf" TargetMode="External"/><Relationship Id="rId163" Type="http://schemas.openxmlformats.org/officeDocument/2006/relationships/hyperlink" Target="http://www.conac.gob.mx/documentos/sesiontrabajo200209.pdf" TargetMode="External"/><Relationship Id="rId184" Type="http://schemas.openxmlformats.org/officeDocument/2006/relationships/hyperlink" Target="http://www.conac.gob.mx/documentos/consejo/mecanismo_2011.pdf" TargetMode="External"/><Relationship Id="rId189" Type="http://schemas.openxmlformats.org/officeDocument/2006/relationships/hyperlink" Target="http://www.conac.gob.mx/documentos/consejo/lin_indicadores.pdf" TargetMode="External"/><Relationship Id="rId219" Type="http://schemas.openxmlformats.org/officeDocument/2006/relationships/hyperlink" Target="http://www.conac.gob.mx/documentos/consejo/guias.pdf" TargetMode="External"/><Relationship Id="rId3" Type="http://schemas.openxmlformats.org/officeDocument/2006/relationships/settings" Target="settings.xml"/><Relationship Id="rId214" Type="http://schemas.openxmlformats.org/officeDocument/2006/relationships/hyperlink" Target="http://www.conac.gob.mx/documentos/consejo/intro.pdf" TargetMode="External"/><Relationship Id="rId230" Type="http://schemas.openxmlformats.org/officeDocument/2006/relationships/hyperlink" Target="http://www.conac.gob.mx/documentos/consejo/sistema_simplificado_municipios.pdf" TargetMode="External"/><Relationship Id="rId235" Type="http://schemas.openxmlformats.org/officeDocument/2006/relationships/image" Target="media/image105.emf"/><Relationship Id="rId25" Type="http://schemas.openxmlformats.org/officeDocument/2006/relationships/image" Target="media/image10.emf"/><Relationship Id="rId46" Type="http://schemas.openxmlformats.org/officeDocument/2006/relationships/image" Target="media/image21.emf"/><Relationship Id="rId67" Type="http://schemas.openxmlformats.org/officeDocument/2006/relationships/package" Target="embeddings/Diapositiva_de_Microsoft_Office_PowerPoint30.sldx"/><Relationship Id="rId116" Type="http://schemas.openxmlformats.org/officeDocument/2006/relationships/image" Target="media/image70.emf"/><Relationship Id="rId137" Type="http://schemas.openxmlformats.org/officeDocument/2006/relationships/hyperlink" Target="http://www.conac.gob.mx/documentos/consejo/consejo_directorio.pdf" TargetMode="External"/><Relationship Id="rId158" Type="http://schemas.openxmlformats.org/officeDocument/2006/relationships/hyperlink" Target="http://www.conac.gob.mx/documentos/consejo/guion_3_sesion_110111.pdf" TargetMode="External"/><Relationship Id="rId20" Type="http://schemas.openxmlformats.org/officeDocument/2006/relationships/package" Target="embeddings/Diapositiva_de_Microsoft_Office_PowerPoint7.sldx"/><Relationship Id="rId41" Type="http://schemas.openxmlformats.org/officeDocument/2006/relationships/package" Target="embeddings/Diapositiva_de_Microsoft_Office_PowerPoint17.sldx"/><Relationship Id="rId62" Type="http://schemas.openxmlformats.org/officeDocument/2006/relationships/image" Target="media/image29.emf"/><Relationship Id="rId83" Type="http://schemas.openxmlformats.org/officeDocument/2006/relationships/package" Target="embeddings/Diapositiva_de_Microsoft_Office_PowerPoint38.sldx"/><Relationship Id="rId88" Type="http://schemas.openxmlformats.org/officeDocument/2006/relationships/image" Target="media/image42.emf"/><Relationship Id="rId111" Type="http://schemas.openxmlformats.org/officeDocument/2006/relationships/image" Target="media/image65.png"/><Relationship Id="rId132" Type="http://schemas.openxmlformats.org/officeDocument/2006/relationships/image" Target="media/image84.jpeg"/><Relationship Id="rId153" Type="http://schemas.openxmlformats.org/officeDocument/2006/relationships/hyperlink" Target="http://www.conac.gob.mx/documentos/consejo/agenda1_290212.pdf" TargetMode="External"/><Relationship Id="rId174" Type="http://schemas.openxmlformats.org/officeDocument/2006/relationships/hyperlink" Target="http://www.conac.gob.mx/documentos/consejo/acta_2_sesion_130809.pdf" TargetMode="External"/><Relationship Id="rId179" Type="http://schemas.openxmlformats.org/officeDocument/2006/relationships/hyperlink" Target="http://www.conac.gob.mx/documentos/consejo/contabilidad_delegaciones_df_110111.pdf" TargetMode="External"/><Relationship Id="rId195" Type="http://schemas.openxmlformats.org/officeDocument/2006/relationships/hyperlink" Target="http://www.conac.gob.mx/documentos/consejo/6_junio_2011.pdf" TargetMode="External"/><Relationship Id="rId209" Type="http://schemas.openxmlformats.org/officeDocument/2006/relationships/hyperlink" Target="http://www.conac.gob.mx/documentos/consejo/clasificador_tipo_gasto.pdf" TargetMode="External"/><Relationship Id="rId190" Type="http://schemas.openxmlformats.org/officeDocument/2006/relationships/image" Target="media/image96.jpeg"/><Relationship Id="rId204" Type="http://schemas.openxmlformats.org/officeDocument/2006/relationships/hyperlink" Target="http://www.conac.gob.mx/documentos/consejo/cri.pdf" TargetMode="External"/><Relationship Id="rId220" Type="http://schemas.openxmlformats.org/officeDocument/2006/relationships/hyperlink" Target="http://www.conac.gob.mx/documentos/consejo/estados.pdf" TargetMode="External"/><Relationship Id="rId225" Type="http://schemas.openxmlformats.org/officeDocument/2006/relationships/hyperlink" Target="http://www.conac.gob.mx/documentos/consejo/clasificacion_administrativa.pdf" TargetMode="External"/><Relationship Id="rId241" Type="http://schemas.openxmlformats.org/officeDocument/2006/relationships/header" Target="header1.xml"/><Relationship Id="rId15" Type="http://schemas.openxmlformats.org/officeDocument/2006/relationships/image" Target="media/image5.emf"/><Relationship Id="rId36" Type="http://schemas.openxmlformats.org/officeDocument/2006/relationships/image" Target="media/image16.emf"/><Relationship Id="rId57" Type="http://schemas.openxmlformats.org/officeDocument/2006/relationships/package" Target="embeddings/Diapositiva_de_Microsoft_Office_PowerPoint25.sldx"/><Relationship Id="rId106" Type="http://schemas.openxmlformats.org/officeDocument/2006/relationships/image" Target="media/image60.png"/><Relationship Id="rId127" Type="http://schemas.openxmlformats.org/officeDocument/2006/relationships/image" Target="media/image80.emf"/><Relationship Id="rId10" Type="http://schemas.openxmlformats.org/officeDocument/2006/relationships/package" Target="embeddings/Diapositiva_de_Microsoft_Office_PowerPoint2.sldx"/><Relationship Id="rId31" Type="http://schemas.openxmlformats.org/officeDocument/2006/relationships/image" Target="media/image13.emf"/><Relationship Id="rId52" Type="http://schemas.openxmlformats.org/officeDocument/2006/relationships/image" Target="media/image24.emf"/><Relationship Id="rId73" Type="http://schemas.openxmlformats.org/officeDocument/2006/relationships/package" Target="embeddings/Diapositiva_de_Microsoft_Office_PowerPoint33.sldx"/><Relationship Id="rId78" Type="http://schemas.openxmlformats.org/officeDocument/2006/relationships/image" Target="media/image37.emf"/><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image" Target="media/image75.emf"/><Relationship Id="rId143" Type="http://schemas.openxmlformats.org/officeDocument/2006/relationships/hyperlink" Target="http://www.conac.gob.mx/documentos/consejo/plan_anual_trabajo_2012.pdf" TargetMode="External"/><Relationship Id="rId148" Type="http://schemas.openxmlformats.org/officeDocument/2006/relationships/hyperlink" Target="http://www.conac.gob.mx/documentos/consejo/guia_requerimientos.pdf" TargetMode="External"/><Relationship Id="rId164" Type="http://schemas.openxmlformats.org/officeDocument/2006/relationships/hyperlink" Target="http://www.conac.gob.mx/documentos/agendainstalacion270209.pdf" TargetMode="External"/><Relationship Id="rId169" Type="http://schemas.openxmlformats.org/officeDocument/2006/relationships/hyperlink" Target="http://www.conac.gob.mx/documentos/consejo/Acta_230611.pdf" TargetMode="External"/><Relationship Id="rId185" Type="http://schemas.openxmlformats.org/officeDocument/2006/relationships/hyperlink" Target="mailto:conac_sriotecnico@hacienda.gob.mx" TargetMode="External"/><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hyperlink" Target="http://www.conac.gob.mx/documentos/consejo/acuerdo_de_interpretacion_110111.pdf" TargetMode="External"/><Relationship Id="rId210" Type="http://schemas.openxmlformats.org/officeDocument/2006/relationships/hyperlink" Target="http://www.conac.gob.mx/documentos/consejo/clasificacion_funcional_gasto.pdf" TargetMode="External"/><Relationship Id="rId215" Type="http://schemas.openxmlformats.org/officeDocument/2006/relationships/hyperlink" Target="http://www.conac.gob.mx/documentos/consejo/fundamentos_metodologicos.pdf" TargetMode="External"/><Relationship Id="rId236" Type="http://schemas.openxmlformats.org/officeDocument/2006/relationships/image" Target="media/image106.emf"/><Relationship Id="rId26" Type="http://schemas.openxmlformats.org/officeDocument/2006/relationships/package" Target="embeddings/Diapositiva_de_Microsoft_Office_PowerPoint10.sldx"/><Relationship Id="rId231" Type="http://schemas.openxmlformats.org/officeDocument/2006/relationships/hyperlink" Target="http://www.conac.gob.mx/documentos/consejo/reglas_patrimonio.pdf" TargetMode="External"/><Relationship Id="rId47" Type="http://schemas.openxmlformats.org/officeDocument/2006/relationships/package" Target="embeddings/Diapositiva_de_Microsoft_Office_PowerPoint20.sldx"/><Relationship Id="rId68" Type="http://schemas.openxmlformats.org/officeDocument/2006/relationships/image" Target="media/image32.emf"/><Relationship Id="rId89" Type="http://schemas.openxmlformats.org/officeDocument/2006/relationships/image" Target="media/image43.emf"/><Relationship Id="rId112" Type="http://schemas.openxmlformats.org/officeDocument/2006/relationships/image" Target="media/image66.png"/><Relationship Id="rId133" Type="http://schemas.openxmlformats.org/officeDocument/2006/relationships/image" Target="media/image85.jpeg"/><Relationship Id="rId154" Type="http://schemas.openxmlformats.org/officeDocument/2006/relationships/hyperlink" Target="http://www.conac.gob.mx/documentos/consejo/agendap_290212.pdf" TargetMode="External"/><Relationship Id="rId175" Type="http://schemas.openxmlformats.org/officeDocument/2006/relationships/hyperlink" Target="http://www.conac.gob.mx/documentos/consejo/acta_1_sesion_200209.pdf" TargetMode="External"/><Relationship Id="rId196" Type="http://schemas.openxmlformats.org/officeDocument/2006/relationships/image" Target="media/image98.jpeg"/><Relationship Id="rId200" Type="http://schemas.openxmlformats.org/officeDocument/2006/relationships/hyperlink" Target="http://www.conac.gob.mx/documentos/consejo/mccg.pdf" TargetMode="External"/><Relationship Id="rId16" Type="http://schemas.openxmlformats.org/officeDocument/2006/relationships/package" Target="embeddings/Diapositiva_de_Microsoft_Office_PowerPoint5.sldx"/><Relationship Id="rId221" Type="http://schemas.openxmlformats.org/officeDocument/2006/relationships/hyperlink" Target="http://www.conac.gob.mx/documentos/consejo/anexo.pdf" TargetMode="External"/><Relationship Id="rId242" Type="http://schemas.openxmlformats.org/officeDocument/2006/relationships/footer" Target="footer1.xml"/><Relationship Id="rId37" Type="http://schemas.openxmlformats.org/officeDocument/2006/relationships/package" Target="embeddings/Diapositiva_de_Microsoft_Office_PowerPoint15.sldx"/><Relationship Id="rId58" Type="http://schemas.openxmlformats.org/officeDocument/2006/relationships/image" Target="media/image27.emf"/><Relationship Id="rId79" Type="http://schemas.openxmlformats.org/officeDocument/2006/relationships/package" Target="embeddings/Diapositiva_de_Microsoft_Office_PowerPoint36.sldx"/><Relationship Id="rId102" Type="http://schemas.openxmlformats.org/officeDocument/2006/relationships/image" Target="media/image56.png"/><Relationship Id="rId123" Type="http://schemas.openxmlformats.org/officeDocument/2006/relationships/image" Target="media/image76.emf"/><Relationship Id="rId144" Type="http://schemas.openxmlformats.org/officeDocument/2006/relationships/hyperlink" Target="http://www.conac.gob.mx/documentos/entidades_federativas.rar" TargetMode="External"/><Relationship Id="rId90" Type="http://schemas.openxmlformats.org/officeDocument/2006/relationships/image" Target="media/image44.emf"/><Relationship Id="rId165" Type="http://schemas.openxmlformats.org/officeDocument/2006/relationships/hyperlink" Target="http://www.conac.gob.mx/consejo.html" TargetMode="External"/><Relationship Id="rId186" Type="http://schemas.openxmlformats.org/officeDocument/2006/relationships/hyperlink" Target="mailto:moises_alcalde@hacienda.gob.mx" TargetMode="External"/><Relationship Id="rId211" Type="http://schemas.openxmlformats.org/officeDocument/2006/relationships/hyperlink" Target="http://www.conac.gob.mx/documentos/consejo/acog.pdf" TargetMode="External"/><Relationship Id="rId232" Type="http://schemas.openxmlformats.org/officeDocument/2006/relationships/image" Target="media/image102.jpeg"/><Relationship Id="rId27" Type="http://schemas.openxmlformats.org/officeDocument/2006/relationships/image" Target="media/image11.emf"/><Relationship Id="rId48" Type="http://schemas.openxmlformats.org/officeDocument/2006/relationships/image" Target="media/image22.emf"/><Relationship Id="rId69" Type="http://schemas.openxmlformats.org/officeDocument/2006/relationships/package" Target="embeddings/Presentaci_n_de_Microsoft_Office_PowerPoint31.pptx"/><Relationship Id="rId113" Type="http://schemas.openxmlformats.org/officeDocument/2006/relationships/image" Target="media/image67.png"/><Relationship Id="rId134" Type="http://schemas.openxmlformats.org/officeDocument/2006/relationships/image" Target="media/image86.jpeg"/><Relationship Id="rId80" Type="http://schemas.openxmlformats.org/officeDocument/2006/relationships/image" Target="media/image38.emf"/><Relationship Id="rId155" Type="http://schemas.openxmlformats.org/officeDocument/2006/relationships/hyperlink" Target="http://www.conac.gob.mx/documentos/consejo/guion_291111.pdf" TargetMode="External"/><Relationship Id="rId176" Type="http://schemas.openxmlformats.org/officeDocument/2006/relationships/hyperlink" Target="http://www.conac.gob.mx/documentos/consejo/actasesioninstalacionconac.pdf" TargetMode="External"/><Relationship Id="rId197" Type="http://schemas.openxmlformats.org/officeDocument/2006/relationships/image" Target="media/image99.gif"/></Relationships>
</file>

<file path=word/_rels/header1.xml.rels><?xml version="1.0" encoding="UTF-8" standalone="yes"?>
<Relationships xmlns="http://schemas.openxmlformats.org/package/2006/relationships"><Relationship Id="rId1" Type="http://schemas.openxmlformats.org/officeDocument/2006/relationships/image" Target="media/image1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13527</Words>
  <Characters>87682</Characters>
  <Application>Microsoft Office Word</Application>
  <DocSecurity>0</DocSecurity>
  <Lines>730</Lines>
  <Paragraphs>202</Paragraphs>
  <ScaleCrop>false</ScaleCrop>
  <HeadingPairs>
    <vt:vector size="2" baseType="variant">
      <vt:variant>
        <vt:lpstr>Título</vt:lpstr>
      </vt:variant>
      <vt:variant>
        <vt:i4>1</vt:i4>
      </vt:variant>
    </vt:vector>
  </HeadingPairs>
  <TitlesOfParts>
    <vt:vector size="1" baseType="lpstr">
      <vt:lpstr>Módulo I: Dirección de proyectos</vt:lpstr>
    </vt:vector>
  </TitlesOfParts>
  <Company>IPN</Company>
  <LinksUpToDate>false</LinksUpToDate>
  <CharactersWithSpaces>101007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I: Dirección de proyectos</dc:title>
  <dc:subject>Secretaría de Salud del D.D.F.</dc:subject>
  <dc:creator>DRA. GISELLA BAÑUELOS</dc:creator>
  <cp:lastModifiedBy>Tania</cp:lastModifiedBy>
  <cp:revision>2</cp:revision>
  <cp:lastPrinted>2012-07-03T18:10:00Z</cp:lastPrinted>
  <dcterms:created xsi:type="dcterms:W3CDTF">2012-08-15T00:54:00Z</dcterms:created>
  <dcterms:modified xsi:type="dcterms:W3CDTF">2012-08-15T00:54:00Z</dcterms:modified>
</cp:coreProperties>
</file>