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27"/>
          <w:szCs w:val="27"/>
        </w:rPr>
      </w:pPr>
      <w:r w:rsidRPr="007F05DD">
        <w:rPr>
          <w:rFonts w:ascii="AdvGulliv-R" w:hAnsi="AdvGulliv-R" w:cs="AdvGulliv-R"/>
          <w:color w:val="000000"/>
          <w:sz w:val="27"/>
          <w:szCs w:val="27"/>
        </w:rPr>
        <w:t xml:space="preserve">Oxidative stress, </w:t>
      </w:r>
      <w:proofErr w:type="spellStart"/>
      <w:r w:rsidRPr="007F05DD">
        <w:rPr>
          <w:rFonts w:ascii="AdvGulliv-R" w:hAnsi="AdvGulliv-R" w:cs="AdvGulliv-R"/>
          <w:color w:val="000000"/>
          <w:sz w:val="27"/>
          <w:szCs w:val="27"/>
        </w:rPr>
        <w:t>cytoxicity</w:t>
      </w:r>
      <w:proofErr w:type="spellEnd"/>
      <w:r w:rsidRPr="007F05DD">
        <w:rPr>
          <w:rFonts w:ascii="AdvGulliv-R" w:hAnsi="AdvGulliv-R" w:cs="AdvGulliv-R"/>
          <w:color w:val="000000"/>
          <w:sz w:val="27"/>
          <w:szCs w:val="27"/>
        </w:rPr>
        <w:t xml:space="preserve">, and cell mortality induced by </w:t>
      </w:r>
      <w:proofErr w:type="spellStart"/>
      <w:r w:rsidRPr="007F05DD">
        <w:rPr>
          <w:rFonts w:ascii="AdvGulliv-R" w:hAnsi="AdvGulliv-R" w:cs="AdvGulliv-R"/>
          <w:color w:val="000000"/>
          <w:sz w:val="27"/>
          <w:szCs w:val="27"/>
        </w:rPr>
        <w:t>nano</w:t>
      </w:r>
      <w:proofErr w:type="spellEnd"/>
      <w:r w:rsidRPr="007F05DD">
        <w:rPr>
          <w:rFonts w:ascii="AdvGulliv-R" w:hAnsi="AdvGulliv-R" w:cs="AdvGulliv-R"/>
          <w:color w:val="000000"/>
          <w:sz w:val="27"/>
          <w:szCs w:val="27"/>
        </w:rPr>
        <w:t>-sized lead</w:t>
      </w:r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27"/>
          <w:szCs w:val="27"/>
          <w:lang w:val="es-MX"/>
        </w:rPr>
      </w:pPr>
      <w:proofErr w:type="gramStart"/>
      <w:r>
        <w:rPr>
          <w:rFonts w:ascii="AdvGulliv-R" w:hAnsi="AdvGulliv-R" w:cs="AdvGulliv-R"/>
          <w:color w:val="000000"/>
          <w:sz w:val="27"/>
          <w:szCs w:val="27"/>
          <w:lang w:val="es-MX"/>
        </w:rPr>
        <w:t>in</w:t>
      </w:r>
      <w:proofErr w:type="gramEnd"/>
      <w:r>
        <w:rPr>
          <w:rFonts w:ascii="AdvGulliv-R" w:hAnsi="AdvGulliv-R" w:cs="AdvGulliv-R"/>
          <w:color w:val="000000"/>
          <w:sz w:val="27"/>
          <w:szCs w:val="27"/>
          <w:lang w:val="es-MX"/>
        </w:rPr>
        <w:t xml:space="preserve"> </w:t>
      </w:r>
      <w:proofErr w:type="spellStart"/>
      <w:r>
        <w:rPr>
          <w:rFonts w:ascii="AdvGulliv-R" w:hAnsi="AdvGulliv-R" w:cs="AdvGulliv-R"/>
          <w:color w:val="000000"/>
          <w:sz w:val="27"/>
          <w:szCs w:val="27"/>
          <w:lang w:val="es-MX"/>
        </w:rPr>
        <w:t>aqueous</w:t>
      </w:r>
      <w:proofErr w:type="spellEnd"/>
      <w:r>
        <w:rPr>
          <w:rFonts w:ascii="AdvGulliv-R" w:hAnsi="AdvGulliv-R" w:cs="AdvGulliv-R"/>
          <w:color w:val="000000"/>
          <w:sz w:val="27"/>
          <w:szCs w:val="27"/>
          <w:lang w:val="es-MX"/>
        </w:rPr>
        <w:t xml:space="preserve"> </w:t>
      </w:r>
      <w:proofErr w:type="spellStart"/>
      <w:r>
        <w:rPr>
          <w:rFonts w:ascii="AdvGulliv-R" w:hAnsi="AdvGulliv-R" w:cs="AdvGulliv-R"/>
          <w:color w:val="000000"/>
          <w:sz w:val="27"/>
          <w:szCs w:val="27"/>
          <w:lang w:val="es-MX"/>
        </w:rPr>
        <w:t>suspensions</w:t>
      </w:r>
      <w:proofErr w:type="spellEnd"/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21"/>
          <w:szCs w:val="21"/>
          <w:lang w:val="es-MX"/>
        </w:rPr>
      </w:pPr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Hilda Cornejo-Garrido </w:t>
      </w:r>
      <w:proofErr w:type="spellStart"/>
      <w:r>
        <w:rPr>
          <w:rFonts w:ascii="AdvGulliv-R" w:hAnsi="AdvGulliv-R" w:cs="AdvGulliv-R"/>
          <w:color w:val="000066"/>
          <w:sz w:val="14"/>
          <w:szCs w:val="14"/>
          <w:lang w:val="es-MX"/>
        </w:rPr>
        <w:t>a</w:t>
      </w:r>
      <w:proofErr w:type="gramStart"/>
      <w:r>
        <w:rPr>
          <w:rFonts w:ascii="AdvGulliv-R" w:hAnsi="AdvGulliv-R" w:cs="AdvGulliv-R"/>
          <w:color w:val="000000"/>
          <w:sz w:val="14"/>
          <w:szCs w:val="14"/>
          <w:lang w:val="es-MX"/>
        </w:rPr>
        <w:t>,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b</w:t>
      </w:r>
      <w:proofErr w:type="spellEnd"/>
      <w:proofErr w:type="gramEnd"/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, Daria </w:t>
      </w:r>
      <w:proofErr w:type="spellStart"/>
      <w:r>
        <w:rPr>
          <w:rFonts w:ascii="AdvGulliv-R" w:hAnsi="AdvGulliv-R" w:cs="AdvGulliv-R"/>
          <w:color w:val="000000"/>
          <w:sz w:val="21"/>
          <w:szCs w:val="21"/>
          <w:lang w:val="es-MX"/>
        </w:rPr>
        <w:t>Kibanova</w:t>
      </w:r>
      <w:proofErr w:type="spellEnd"/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 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a</w:t>
      </w:r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, Antonio Nieto-Camacho 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c</w:t>
      </w:r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, José Guzmán 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d</w:t>
      </w:r>
      <w:r>
        <w:rPr>
          <w:rFonts w:ascii="AdvGulliv-R" w:hAnsi="AdvGulliv-R" w:cs="AdvGulliv-R"/>
          <w:color w:val="000000"/>
          <w:sz w:val="21"/>
          <w:szCs w:val="21"/>
          <w:lang w:val="es-MX"/>
        </w:rPr>
        <w:t>,</w:t>
      </w:r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CORRESAST" w:eastAsia="AdvCORRESAST" w:hAnsi="AdvGulliv-R" w:cs="AdvCORRESAST"/>
          <w:color w:val="000066"/>
          <w:sz w:val="17"/>
          <w:szCs w:val="17"/>
          <w:lang w:val="es-MX"/>
        </w:rPr>
      </w:pPr>
      <w:r>
        <w:rPr>
          <w:rFonts w:ascii="AdvGulliv-R" w:hAnsi="AdvGulliv-R" w:cs="AdvGulliv-R"/>
          <w:color w:val="000000"/>
          <w:sz w:val="21"/>
          <w:szCs w:val="21"/>
          <w:lang w:val="es-MX"/>
        </w:rPr>
        <w:t>Teresa Ramírez-</w:t>
      </w:r>
      <w:proofErr w:type="spellStart"/>
      <w:r>
        <w:rPr>
          <w:rFonts w:ascii="AdvGulliv-R" w:hAnsi="AdvGulliv-R" w:cs="AdvGulliv-R"/>
          <w:color w:val="000000"/>
          <w:sz w:val="21"/>
          <w:szCs w:val="21"/>
          <w:lang w:val="es-MX"/>
        </w:rPr>
        <w:t>Apan</w:t>
      </w:r>
      <w:proofErr w:type="spellEnd"/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 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c</w:t>
      </w:r>
      <w:r>
        <w:rPr>
          <w:rFonts w:ascii="AdvGulliv-R" w:hAnsi="AdvGulliv-R" w:cs="AdvGulliv-R"/>
          <w:color w:val="000000"/>
          <w:sz w:val="21"/>
          <w:szCs w:val="21"/>
          <w:lang w:val="es-MX"/>
        </w:rPr>
        <w:t>, Pilar Fernández-</w:t>
      </w:r>
      <w:proofErr w:type="spellStart"/>
      <w:r>
        <w:rPr>
          <w:rFonts w:ascii="AdvGulliv-R" w:hAnsi="AdvGulliv-R" w:cs="AdvGulliv-R"/>
          <w:color w:val="000000"/>
          <w:sz w:val="21"/>
          <w:szCs w:val="21"/>
          <w:lang w:val="es-MX"/>
        </w:rPr>
        <w:t>Lomelín</w:t>
      </w:r>
      <w:proofErr w:type="spellEnd"/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 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e</w:t>
      </w:r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, </w:t>
      </w:r>
      <w:proofErr w:type="spellStart"/>
      <w:r>
        <w:rPr>
          <w:rFonts w:ascii="AdvGulliv-R" w:hAnsi="AdvGulliv-R" w:cs="AdvGulliv-R"/>
          <w:color w:val="000000"/>
          <w:sz w:val="21"/>
          <w:szCs w:val="21"/>
          <w:lang w:val="es-MX"/>
        </w:rPr>
        <w:t>Maria</w:t>
      </w:r>
      <w:proofErr w:type="spellEnd"/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 Laura Garduño 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a</w:t>
      </w:r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, </w:t>
      </w:r>
      <w:proofErr w:type="spellStart"/>
      <w:r>
        <w:rPr>
          <w:rFonts w:ascii="AdvGulliv-R" w:hAnsi="AdvGulliv-R" w:cs="AdvGulliv-R"/>
          <w:color w:val="000000"/>
          <w:sz w:val="21"/>
          <w:szCs w:val="21"/>
          <w:lang w:val="es-MX"/>
        </w:rPr>
        <w:t>Javiera</w:t>
      </w:r>
      <w:proofErr w:type="spellEnd"/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 </w:t>
      </w:r>
      <w:proofErr w:type="spellStart"/>
      <w:r>
        <w:rPr>
          <w:rFonts w:ascii="AdvGulliv-R" w:hAnsi="AdvGulliv-R" w:cs="AdvGulliv-R"/>
          <w:color w:val="000000"/>
          <w:sz w:val="21"/>
          <w:szCs w:val="21"/>
          <w:lang w:val="es-MX"/>
        </w:rPr>
        <w:t>Cervini</w:t>
      </w:r>
      <w:proofErr w:type="spellEnd"/>
      <w:r>
        <w:rPr>
          <w:rFonts w:ascii="AdvGulliv-R" w:hAnsi="AdvGulliv-R" w:cs="AdvGulliv-R"/>
          <w:color w:val="000000"/>
          <w:sz w:val="21"/>
          <w:szCs w:val="21"/>
          <w:lang w:val="es-MX"/>
        </w:rPr>
        <w:t xml:space="preserve">-Silva </w:t>
      </w:r>
      <w:proofErr w:type="spellStart"/>
      <w:r>
        <w:rPr>
          <w:rFonts w:ascii="AdvGulliv-R" w:hAnsi="AdvGulliv-R" w:cs="AdvGulliv-R"/>
          <w:color w:val="000066"/>
          <w:sz w:val="14"/>
          <w:szCs w:val="14"/>
          <w:lang w:val="es-MX"/>
        </w:rPr>
        <w:t>a</w:t>
      </w:r>
      <w:proofErr w:type="gramStart"/>
      <w:r>
        <w:rPr>
          <w:rFonts w:ascii="AdvGulliv-R" w:hAnsi="AdvGulliv-R" w:cs="AdvGulliv-R"/>
          <w:color w:val="000000"/>
          <w:sz w:val="14"/>
          <w:szCs w:val="14"/>
          <w:lang w:val="es-MX"/>
        </w:rPr>
        <w:t>,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f</w:t>
      </w:r>
      <w:r>
        <w:rPr>
          <w:rFonts w:ascii="AdvGulliv-R" w:hAnsi="AdvGulliv-R" w:cs="AdvGulliv-R"/>
          <w:color w:val="000000"/>
          <w:sz w:val="14"/>
          <w:szCs w:val="14"/>
          <w:lang w:val="es-MX"/>
        </w:rPr>
        <w:t>,</w:t>
      </w:r>
      <w:r>
        <w:rPr>
          <w:rFonts w:ascii="AdvGulliv-R" w:hAnsi="AdvGulliv-R" w:cs="AdvGulliv-R"/>
          <w:color w:val="000066"/>
          <w:sz w:val="14"/>
          <w:szCs w:val="14"/>
          <w:lang w:val="es-MX"/>
        </w:rPr>
        <w:t>g</w:t>
      </w:r>
      <w:proofErr w:type="spellEnd"/>
      <w:proofErr w:type="gramEnd"/>
      <w:r>
        <w:rPr>
          <w:rFonts w:ascii="AdvGulliv-R" w:hAnsi="AdvGulliv-R" w:cs="AdvGulliv-R"/>
          <w:color w:val="000000"/>
          <w:sz w:val="14"/>
          <w:szCs w:val="14"/>
          <w:lang w:val="es-MX"/>
        </w:rPr>
        <w:t>,</w:t>
      </w:r>
      <w:r>
        <w:rPr>
          <w:rFonts w:ascii="AdvCORRESAST" w:eastAsia="AdvCORRESAST" w:hAnsi="AdvGulliv-R" w:cs="AdvCORRESAST" w:hint="eastAsia"/>
          <w:color w:val="000066"/>
          <w:sz w:val="17"/>
          <w:szCs w:val="17"/>
          <w:lang w:val="es-MX"/>
        </w:rPr>
        <w:t>⇑</w:t>
      </w:r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  <w:lang w:val="es-MX"/>
        </w:rPr>
      </w:pPr>
      <w:proofErr w:type="spellStart"/>
      <w:proofErr w:type="gramStart"/>
      <w:r>
        <w:rPr>
          <w:rFonts w:ascii="AdvGulliv-R" w:hAnsi="AdvGulliv-R" w:cs="AdvGulliv-R"/>
          <w:color w:val="000000"/>
          <w:sz w:val="9"/>
          <w:szCs w:val="9"/>
          <w:lang w:val="es-MX"/>
        </w:rPr>
        <w:t>a</w:t>
      </w:r>
      <w:proofErr w:type="spellEnd"/>
      <w:proofErr w:type="gramEnd"/>
      <w:r>
        <w:rPr>
          <w:rFonts w:ascii="AdvGulliv-R" w:hAnsi="AdvGulliv-R" w:cs="AdvGulliv-R"/>
          <w:color w:val="000000"/>
          <w:sz w:val="9"/>
          <w:szCs w:val="9"/>
          <w:lang w:val="es-MX"/>
        </w:rPr>
        <w:t xml:space="preserve"> </w:t>
      </w:r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Departamento de Procesos y Tecnología, Universidad Autónoma Metropolitana Unidad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Cuajimalpa</w:t>
      </w:r>
      <w:proofErr w:type="spellEnd"/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,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Mexico</w:t>
      </w:r>
      <w:proofErr w:type="spellEnd"/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  <w:lang w:val="es-MX"/>
        </w:rPr>
      </w:pPr>
      <w:proofErr w:type="gramStart"/>
      <w:r>
        <w:rPr>
          <w:rFonts w:ascii="AdvGulliv-R" w:hAnsi="AdvGulliv-R" w:cs="AdvGulliv-R"/>
          <w:color w:val="000000"/>
          <w:sz w:val="9"/>
          <w:szCs w:val="9"/>
          <w:lang w:val="es-MX"/>
        </w:rPr>
        <w:t>b</w:t>
      </w:r>
      <w:proofErr w:type="gramEnd"/>
      <w:r>
        <w:rPr>
          <w:rFonts w:ascii="AdvGulliv-R" w:hAnsi="AdvGulliv-R" w:cs="AdvGulliv-R"/>
          <w:color w:val="000000"/>
          <w:sz w:val="9"/>
          <w:szCs w:val="9"/>
          <w:lang w:val="es-MX"/>
        </w:rPr>
        <w:t xml:space="preserve"> </w:t>
      </w:r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Posgrado en Ciencias de la Tierra, Universidad Nacional Autónoma de México,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Mexico</w:t>
      </w:r>
      <w:proofErr w:type="spellEnd"/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  <w:lang w:val="es-MX"/>
        </w:rPr>
      </w:pPr>
      <w:proofErr w:type="gramStart"/>
      <w:r>
        <w:rPr>
          <w:rFonts w:ascii="AdvGulliv-R" w:hAnsi="AdvGulliv-R" w:cs="AdvGulliv-R"/>
          <w:color w:val="000000"/>
          <w:sz w:val="9"/>
          <w:szCs w:val="9"/>
          <w:lang w:val="es-MX"/>
        </w:rPr>
        <w:t>c</w:t>
      </w:r>
      <w:proofErr w:type="gramEnd"/>
      <w:r>
        <w:rPr>
          <w:rFonts w:ascii="AdvGulliv-R" w:hAnsi="AdvGulliv-R" w:cs="AdvGulliv-R"/>
          <w:color w:val="000000"/>
          <w:sz w:val="9"/>
          <w:szCs w:val="9"/>
          <w:lang w:val="es-MX"/>
        </w:rPr>
        <w:t xml:space="preserve"> </w:t>
      </w:r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Laboratorio de Ciencias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Biologicas</w:t>
      </w:r>
      <w:proofErr w:type="spellEnd"/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, Instituto de Química, Universidad Nacional Autónoma de México,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Mexico</w:t>
      </w:r>
      <w:proofErr w:type="spellEnd"/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  <w:lang w:val="es-MX"/>
        </w:rPr>
      </w:pPr>
      <w:proofErr w:type="gramStart"/>
      <w:r>
        <w:rPr>
          <w:rFonts w:ascii="AdvGulliv-R" w:hAnsi="AdvGulliv-R" w:cs="AdvGulliv-R"/>
          <w:color w:val="000000"/>
          <w:sz w:val="9"/>
          <w:szCs w:val="9"/>
          <w:lang w:val="es-MX"/>
        </w:rPr>
        <w:t>d</w:t>
      </w:r>
      <w:proofErr w:type="gramEnd"/>
      <w:r>
        <w:rPr>
          <w:rFonts w:ascii="AdvGulliv-R" w:hAnsi="AdvGulliv-R" w:cs="AdvGulliv-R"/>
          <w:color w:val="000000"/>
          <w:sz w:val="9"/>
          <w:szCs w:val="9"/>
          <w:lang w:val="es-MX"/>
        </w:rPr>
        <w:t xml:space="preserve"> </w:t>
      </w:r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Centro de Investigación en Ciencia Aplicada y Tecnología Avanzada, Unidad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Legaria</w:t>
      </w:r>
      <w:proofErr w:type="spellEnd"/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,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Mexico</w:t>
      </w:r>
      <w:proofErr w:type="spellEnd"/>
    </w:p>
    <w:p w:rsid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  <w:lang w:val="es-MX"/>
        </w:rPr>
      </w:pPr>
      <w:proofErr w:type="gramStart"/>
      <w:r>
        <w:rPr>
          <w:rFonts w:ascii="AdvGulliv-R" w:hAnsi="AdvGulliv-R" w:cs="AdvGulliv-R"/>
          <w:color w:val="000000"/>
          <w:sz w:val="9"/>
          <w:szCs w:val="9"/>
          <w:lang w:val="es-MX"/>
        </w:rPr>
        <w:t>e</w:t>
      </w:r>
      <w:proofErr w:type="gramEnd"/>
      <w:r>
        <w:rPr>
          <w:rFonts w:ascii="AdvGulliv-R" w:hAnsi="AdvGulliv-R" w:cs="AdvGulliv-R"/>
          <w:color w:val="000000"/>
          <w:sz w:val="9"/>
          <w:szCs w:val="9"/>
          <w:lang w:val="es-MX"/>
        </w:rPr>
        <w:t xml:space="preserve"> </w:t>
      </w:r>
      <w:r>
        <w:rPr>
          <w:rFonts w:ascii="AdvGulliv-I" w:hAnsi="AdvGulliv-I" w:cs="AdvGulliv-I"/>
          <w:color w:val="000000"/>
          <w:sz w:val="13"/>
          <w:szCs w:val="13"/>
          <w:lang w:val="es-MX"/>
        </w:rPr>
        <w:t xml:space="preserve">Instituto de Geografía, Universidad Nacional Autónoma de México, </w:t>
      </w:r>
      <w:proofErr w:type="spellStart"/>
      <w:r>
        <w:rPr>
          <w:rFonts w:ascii="AdvGulliv-I" w:hAnsi="AdvGulliv-I" w:cs="AdvGulliv-I"/>
          <w:color w:val="000000"/>
          <w:sz w:val="13"/>
          <w:szCs w:val="13"/>
          <w:lang w:val="es-MX"/>
        </w:rPr>
        <w:t>Mexico</w:t>
      </w:r>
      <w:proofErr w:type="spellEnd"/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9"/>
          <w:szCs w:val="9"/>
        </w:rPr>
        <w:t xml:space="preserve">f </w:t>
      </w:r>
      <w:r w:rsidRPr="007F05DD">
        <w:rPr>
          <w:rFonts w:ascii="AdvGulliv-I" w:hAnsi="AdvGulliv-I" w:cs="AdvGulliv-I"/>
          <w:color w:val="000000"/>
          <w:sz w:val="13"/>
          <w:szCs w:val="13"/>
        </w:rPr>
        <w:t>NASA Astrobiology Institute, United States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9"/>
          <w:szCs w:val="9"/>
        </w:rPr>
        <w:t xml:space="preserve">g </w:t>
      </w:r>
      <w:r w:rsidRPr="007F05DD">
        <w:rPr>
          <w:rFonts w:ascii="AdvGulliv-I" w:hAnsi="AdvGulliv-I" w:cs="AdvGulliv-I"/>
          <w:color w:val="000000"/>
          <w:sz w:val="13"/>
          <w:szCs w:val="13"/>
        </w:rPr>
        <w:t>Earth Sciences Division, Lawrence Berkeley National Laboratory, United States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F" w:hAnsi="AdvGulliv-F" w:cs="AdvGulliv-F"/>
          <w:color w:val="000000"/>
          <w:sz w:val="18"/>
          <w:szCs w:val="18"/>
        </w:rPr>
      </w:pPr>
      <w:r w:rsidRPr="007F05DD">
        <w:rPr>
          <w:rFonts w:ascii="AdvGulliv-F" w:hAnsi="AdvGulliv-F" w:cs="AdvGulliv-F"/>
          <w:color w:val="000000"/>
          <w:sz w:val="18"/>
          <w:szCs w:val="18"/>
        </w:rPr>
        <w:t>a r t i c l e i n f o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</w:rPr>
      </w:pPr>
      <w:r w:rsidRPr="007F05DD">
        <w:rPr>
          <w:rFonts w:ascii="AdvGulliv-I" w:hAnsi="AdvGulliv-I" w:cs="AdvGulliv-I"/>
          <w:color w:val="000000"/>
          <w:sz w:val="13"/>
          <w:szCs w:val="13"/>
        </w:rPr>
        <w:t>Article history: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Received 13 February 2011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Received in revised form 4 May 2011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Accepted 7 May 2011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Available online 2 June 2011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I" w:hAnsi="AdvGulliv-I" w:cs="AdvGulliv-I"/>
          <w:color w:val="000000"/>
          <w:sz w:val="13"/>
          <w:szCs w:val="13"/>
        </w:rPr>
      </w:pPr>
      <w:r w:rsidRPr="007F05DD">
        <w:rPr>
          <w:rFonts w:ascii="AdvGulliv-I" w:hAnsi="AdvGulliv-I" w:cs="AdvGulliv-I"/>
          <w:color w:val="000000"/>
          <w:sz w:val="13"/>
          <w:szCs w:val="13"/>
        </w:rPr>
        <w:t>Keywords: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Water-stable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Stable nanoparticles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Lipid peroxidation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Lead nanoparticles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3"/>
          <w:szCs w:val="13"/>
        </w:rPr>
      </w:pPr>
      <w:r w:rsidRPr="007F05DD">
        <w:rPr>
          <w:rFonts w:ascii="AdvGulliv-R" w:hAnsi="AdvGulliv-R" w:cs="AdvGulliv-R"/>
          <w:color w:val="000000"/>
          <w:sz w:val="13"/>
          <w:szCs w:val="13"/>
        </w:rPr>
        <w:t>Biological activity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F" w:hAnsi="AdvGulliv-F" w:cs="AdvGulliv-F"/>
          <w:color w:val="000000"/>
          <w:sz w:val="18"/>
          <w:szCs w:val="18"/>
        </w:rPr>
      </w:pPr>
      <w:r w:rsidRPr="007F05DD">
        <w:rPr>
          <w:rFonts w:ascii="AdvGulliv-F" w:hAnsi="AdvGulliv-F" w:cs="AdvGulliv-F"/>
          <w:color w:val="000000"/>
          <w:sz w:val="18"/>
          <w:szCs w:val="18"/>
        </w:rPr>
        <w:t>a b s t r a c t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4"/>
          <w:szCs w:val="14"/>
        </w:rPr>
      </w:pPr>
      <w:r w:rsidRPr="007F05DD">
        <w:rPr>
          <w:rFonts w:ascii="AdvGulliv-R" w:hAnsi="AdvGulliv-R" w:cs="AdvGulliv-R"/>
          <w:color w:val="000000"/>
          <w:sz w:val="14"/>
          <w:szCs w:val="14"/>
        </w:rPr>
        <w:t>This paper reports on the effect of aqueous and nano-particulated Pb on oxidative stress (lipid peroxidation),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4"/>
          <w:szCs w:val="14"/>
        </w:rPr>
      </w:pPr>
      <w:r w:rsidRPr="007F05DD">
        <w:rPr>
          <w:rFonts w:ascii="AdvGulliv-R" w:hAnsi="AdvGulliv-R" w:cs="AdvGulliv-R"/>
          <w:color w:val="000000"/>
          <w:sz w:val="14"/>
          <w:szCs w:val="14"/>
        </w:rPr>
        <w:t>cytoxicity, and cell mortality. As determined by the Thiobarbituric Acid Reactive Substances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4"/>
          <w:szCs w:val="14"/>
        </w:rPr>
      </w:pPr>
      <w:r w:rsidRPr="007F05DD">
        <w:rPr>
          <w:rFonts w:ascii="AdvGulliv-R" w:hAnsi="AdvGulliv-R" w:cs="AdvGulliv-R"/>
          <w:color w:val="000000"/>
          <w:sz w:val="14"/>
          <w:szCs w:val="14"/>
        </w:rPr>
        <w:t>(TBARS) method, only 6 h after incubation aqueous suspensions bearing nano-sized PbO</w:t>
      </w:r>
      <w:r w:rsidRPr="007F05DD">
        <w:rPr>
          <w:rFonts w:ascii="AdvGulliv-R" w:hAnsi="AdvGulliv-R" w:cs="AdvGulliv-R"/>
          <w:color w:val="000000"/>
          <w:sz w:val="10"/>
          <w:szCs w:val="10"/>
        </w:rPr>
        <w:t>2</w:t>
      </w:r>
      <w:r w:rsidRPr="007F05DD">
        <w:rPr>
          <w:rFonts w:ascii="AdvGulliv-R" w:hAnsi="AdvGulliv-R" w:cs="AdvGulliv-R"/>
          <w:color w:val="000000"/>
          <w:sz w:val="14"/>
          <w:szCs w:val="14"/>
        </w:rPr>
        <w:t>, soluble Pb(II),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4"/>
          <w:szCs w:val="14"/>
        </w:rPr>
      </w:pPr>
      <w:r w:rsidRPr="007F05DD">
        <w:rPr>
          <w:rFonts w:ascii="AdvGulliv-R" w:hAnsi="AdvGulliv-R" w:cs="AdvGulliv-R"/>
          <w:color w:val="000000"/>
          <w:sz w:val="14"/>
          <w:szCs w:val="14"/>
        </w:rPr>
        <w:t xml:space="preserve">and brain-homogenate only suspensions, were determined to contain as much as </w:t>
      </w:r>
      <w:r w:rsidRPr="007F05DD">
        <w:rPr>
          <w:rFonts w:ascii="AdvGulliv-I" w:hAnsi="AdvGulliv-I" w:cs="AdvGulliv-I"/>
          <w:color w:val="000000"/>
          <w:sz w:val="14"/>
          <w:szCs w:val="14"/>
        </w:rPr>
        <w:t xml:space="preserve">ca. </w:t>
      </w:r>
      <w:r w:rsidRPr="007F05DD">
        <w:rPr>
          <w:rFonts w:ascii="AdvGulliv-R" w:hAnsi="AdvGulliv-R" w:cs="AdvGulliv-R"/>
          <w:color w:val="000000"/>
          <w:sz w:val="14"/>
          <w:szCs w:val="14"/>
        </w:rPr>
        <w:t>7, 5, and 1 nmol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4"/>
          <w:szCs w:val="14"/>
        </w:rPr>
      </w:pPr>
      <w:r w:rsidRPr="007F05DD">
        <w:rPr>
          <w:rFonts w:ascii="AdvGulliv-R" w:hAnsi="AdvGulliv-R" w:cs="AdvGulliv-R"/>
          <w:color w:val="000000"/>
          <w:sz w:val="14"/>
          <w:szCs w:val="14"/>
        </w:rPr>
        <w:t>TBARS mg protein</w:t>
      </w:r>
      <w:r w:rsidRPr="007F05DD">
        <w:rPr>
          <w:rFonts w:ascii="AdvP4C4E74" w:hAnsi="AdvP4C4E74" w:cs="AdvP4C4E74"/>
          <w:color w:val="000000"/>
          <w:sz w:val="10"/>
          <w:szCs w:val="10"/>
        </w:rPr>
        <w:t>_</w:t>
      </w:r>
      <w:r w:rsidRPr="007F05DD">
        <w:rPr>
          <w:rFonts w:ascii="AdvGulliv-R" w:hAnsi="AdvGulliv-R" w:cs="AdvGulliv-R"/>
          <w:color w:val="000000"/>
          <w:sz w:val="10"/>
          <w:szCs w:val="10"/>
        </w:rPr>
        <w:t>1</w:t>
      </w:r>
      <w:r w:rsidRPr="007F05DD">
        <w:rPr>
          <w:rFonts w:ascii="AdvGulliv-R" w:hAnsi="AdvGulliv-R" w:cs="AdvGulliv-R"/>
          <w:color w:val="000000"/>
          <w:sz w:val="14"/>
          <w:szCs w:val="14"/>
        </w:rPr>
        <w:t>, respectively. Exposure of human cells (central nervous system, prostate, leukemia,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4"/>
          <w:szCs w:val="14"/>
        </w:rPr>
      </w:pPr>
      <w:r w:rsidRPr="007F05DD">
        <w:rPr>
          <w:rFonts w:ascii="AdvGulliv-R" w:hAnsi="AdvGulliv-R" w:cs="AdvGulliv-R"/>
          <w:color w:val="000000"/>
          <w:sz w:val="14"/>
          <w:szCs w:val="14"/>
        </w:rPr>
        <w:t>colon, breast, lung cells) to nano-PbO</w:t>
      </w:r>
      <w:r w:rsidRPr="007F05DD">
        <w:rPr>
          <w:rFonts w:ascii="AdvGulliv-R" w:hAnsi="AdvGulliv-R" w:cs="AdvGulliv-R"/>
          <w:color w:val="000000"/>
          <w:sz w:val="10"/>
          <w:szCs w:val="10"/>
        </w:rPr>
        <w:t xml:space="preserve">2 </w:t>
      </w:r>
      <w:r w:rsidRPr="007F05DD">
        <w:rPr>
          <w:rFonts w:ascii="AdvGulliv-R" w:hAnsi="AdvGulliv-R" w:cs="AdvGulliv-R"/>
          <w:color w:val="000000"/>
          <w:sz w:val="14"/>
          <w:szCs w:val="14"/>
        </w:rPr>
        <w:t xml:space="preserve">led to cell-growth inhibition values (%) </w:t>
      </w:r>
      <w:r w:rsidRPr="007F05DD">
        <w:rPr>
          <w:rFonts w:ascii="AdvGulliv-I" w:hAnsi="AdvGulliv-I" w:cs="AdvGulliv-I"/>
          <w:color w:val="000000"/>
          <w:sz w:val="14"/>
          <w:szCs w:val="14"/>
        </w:rPr>
        <w:t xml:space="preserve">ca. </w:t>
      </w:r>
      <w:r w:rsidRPr="007F05DD">
        <w:rPr>
          <w:rFonts w:ascii="AdvPSMSAM10" w:hAnsi="AdvPSMSAM10" w:cs="AdvPSMSAM10"/>
          <w:color w:val="000000"/>
          <w:sz w:val="14"/>
          <w:szCs w:val="14"/>
        </w:rPr>
        <w:t>6</w:t>
      </w:r>
      <w:r w:rsidRPr="007F05DD">
        <w:rPr>
          <w:rFonts w:ascii="AdvGulliv-R" w:hAnsi="AdvGulliv-R" w:cs="AdvGulliv-R"/>
          <w:color w:val="000000"/>
          <w:sz w:val="14"/>
          <w:szCs w:val="14"/>
        </w:rPr>
        <w:t>18.7%. Finally, as estimated</w:t>
      </w:r>
    </w:p>
    <w:p w:rsidR="007F05DD" w:rsidRPr="007F05DD" w:rsidRDefault="007F05DD" w:rsidP="007F05DD">
      <w:pPr>
        <w:autoSpaceDE w:val="0"/>
        <w:autoSpaceDN w:val="0"/>
        <w:adjustRightInd w:val="0"/>
        <w:spacing w:after="0" w:line="240" w:lineRule="auto"/>
        <w:rPr>
          <w:rFonts w:ascii="AdvGulliv-R" w:hAnsi="AdvGulliv-R" w:cs="AdvGulliv-R"/>
          <w:color w:val="000000"/>
          <w:sz w:val="14"/>
          <w:szCs w:val="14"/>
        </w:rPr>
      </w:pPr>
      <w:r w:rsidRPr="007F05DD">
        <w:rPr>
          <w:rFonts w:ascii="AdvGulliv-R" w:hAnsi="AdvGulliv-R" w:cs="AdvGulliv-R"/>
          <w:color w:val="000000"/>
          <w:sz w:val="14"/>
          <w:szCs w:val="14"/>
        </w:rPr>
        <w:t xml:space="preserve">by the </w:t>
      </w:r>
      <w:r w:rsidRPr="007F05DD">
        <w:rPr>
          <w:rFonts w:ascii="AdvGulliv-I" w:hAnsi="AdvGulliv-I" w:cs="AdvGulliv-I"/>
          <w:color w:val="000000"/>
          <w:sz w:val="14"/>
          <w:szCs w:val="14"/>
        </w:rPr>
        <w:t xml:space="preserve">Artemia salina </w:t>
      </w:r>
      <w:r w:rsidRPr="007F05DD">
        <w:rPr>
          <w:rFonts w:ascii="AdvGulliv-R" w:hAnsi="AdvGulliv-R" w:cs="AdvGulliv-R"/>
          <w:color w:val="000000"/>
          <w:sz w:val="14"/>
          <w:szCs w:val="14"/>
        </w:rPr>
        <w:t>test, cell mortality values were found to show high-survival larvae rates.</w:t>
      </w:r>
    </w:p>
    <w:p w:rsidR="00021073" w:rsidRPr="007F05DD" w:rsidRDefault="007F05DD" w:rsidP="007F05DD">
      <w:r w:rsidRPr="007F05DD">
        <w:rPr>
          <w:rFonts w:ascii="AdvGulliv-R" w:hAnsi="AdvGulliv-R" w:cs="AdvGulliv-R"/>
          <w:color w:val="000000"/>
          <w:sz w:val="14"/>
          <w:szCs w:val="14"/>
        </w:rPr>
        <w:t xml:space="preserve">Microscopic observations revealed that </w:t>
      </w:r>
      <w:proofErr w:type="spellStart"/>
      <w:r w:rsidRPr="007F05DD">
        <w:rPr>
          <w:rFonts w:ascii="AdvGulliv-R" w:hAnsi="AdvGulliv-R" w:cs="AdvGulliv-R"/>
          <w:color w:val="000000"/>
          <w:sz w:val="14"/>
          <w:szCs w:val="14"/>
        </w:rPr>
        <w:t>Pb</w:t>
      </w:r>
      <w:proofErr w:type="spellEnd"/>
      <w:r w:rsidRPr="007F05DD">
        <w:rPr>
          <w:rFonts w:ascii="AdvGulliv-R" w:hAnsi="AdvGulliv-R" w:cs="AdvGulliv-R"/>
          <w:color w:val="000000"/>
          <w:sz w:val="14"/>
          <w:szCs w:val="14"/>
        </w:rPr>
        <w:t xml:space="preserve"> particles were swallowed, but caused no mortality, however.</w:t>
      </w:r>
    </w:p>
    <w:sectPr w:rsidR="00021073" w:rsidRPr="007F05DD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CORRESAS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dvGulliv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-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MSAM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F05DD"/>
    <w:rsid w:val="00021073"/>
    <w:rsid w:val="00503616"/>
    <w:rsid w:val="00580750"/>
    <w:rsid w:val="007F05DD"/>
    <w:rsid w:val="0085114A"/>
    <w:rsid w:val="00871B52"/>
    <w:rsid w:val="00C91642"/>
    <w:rsid w:val="00C92125"/>
    <w:rsid w:val="00F0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2012-03-28T22:34:00Z</dcterms:created>
  <dcterms:modified xsi:type="dcterms:W3CDTF">2012-03-28T22:34:00Z</dcterms:modified>
</cp:coreProperties>
</file>