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735CEB" w:rsidRDefault="00735CEB" w:rsidP="00B021A1">
      <w:pPr>
        <w:spacing w:after="0"/>
        <w:jc w:val="right"/>
        <w:rPr>
          <w:rFonts w:ascii="Arial" w:hAnsi="Arial" w:cs="Arial"/>
          <w:b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BF17A5">
        <w:rPr>
          <w:rFonts w:ascii="Arial" w:hAnsi="Arial" w:cs="Arial"/>
          <w:b/>
          <w:lang w:val="es-MX"/>
        </w:rPr>
        <w:t xml:space="preserve"> 19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F765E0" w:rsidRPr="00735CEB" w:rsidRDefault="00F765E0" w:rsidP="00F765E0">
      <w:pPr>
        <w:spacing w:after="0"/>
        <w:rPr>
          <w:rFonts w:ascii="Arial" w:eastAsia="Times New Roman" w:hAnsi="Arial" w:cs="Arial"/>
          <w:lang w:val="es-MX" w:eastAsia="es-ES"/>
        </w:rPr>
      </w:pPr>
    </w:p>
    <w:p w:rsidR="00BF17A5" w:rsidRPr="003028B3" w:rsidRDefault="00BF17A5" w:rsidP="00BF17A5">
      <w:pPr>
        <w:spacing w:after="0"/>
        <w:rPr>
          <w:rFonts w:ascii="Arial" w:eastAsia="Times New Roman" w:hAnsi="Arial" w:cs="Arial"/>
          <w:lang w:val="es-MX" w:eastAsia="es-ES"/>
        </w:rPr>
      </w:pPr>
    </w:p>
    <w:p w:rsidR="00BF17A5" w:rsidRPr="00480904" w:rsidRDefault="00BF17A5" w:rsidP="00BF17A5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val="es-ES" w:eastAsia="es-ES"/>
        </w:rPr>
      </w:pPr>
      <w:r w:rsidRPr="0048090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REANUDA ACTIVIDADES COMUNIDAD POLITÉCNICA </w:t>
      </w:r>
    </w:p>
    <w:p w:rsidR="00BF17A5" w:rsidRPr="00BF17A5" w:rsidRDefault="00BF17A5" w:rsidP="00BF17A5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BF17A5" w:rsidRPr="005429E5" w:rsidRDefault="005429E5" w:rsidP="005429E5">
      <w:pPr>
        <w:pStyle w:val="Prrafodelista"/>
        <w:numPr>
          <w:ilvl w:val="0"/>
          <w:numId w:val="39"/>
        </w:numPr>
        <w:spacing w:after="0"/>
        <w:ind w:right="255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429E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Alumnos, docentes, investigadores, trabajadores, mandos y directivos regresarán a sus labores el próximo lunes </w:t>
      </w:r>
      <w:r w:rsidR="00BF17A5" w:rsidRPr="005429E5">
        <w:rPr>
          <w:rFonts w:ascii="Arial" w:eastAsia="Times New Roman" w:hAnsi="Arial" w:cs="Arial"/>
          <w:b/>
          <w:sz w:val="24"/>
          <w:szCs w:val="24"/>
          <w:lang w:val="es-ES" w:eastAsia="es-ES"/>
        </w:rPr>
        <w:t>21 de abril</w:t>
      </w:r>
    </w:p>
    <w:p w:rsidR="003028B3" w:rsidRDefault="003028B3" w:rsidP="00BF17A5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</w:p>
    <w:p w:rsidR="00BF17A5" w:rsidRPr="00FF5646" w:rsidRDefault="00BF17A5" w:rsidP="00BF17A5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" w:eastAsia="es-ES"/>
        </w:rPr>
        <w:t>C-104</w:t>
      </w:r>
    </w:p>
    <w:p w:rsidR="00BF17A5" w:rsidRDefault="00BF17A5" w:rsidP="00BF17A5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F17A5" w:rsidRDefault="00BF17A5" w:rsidP="00BF17A5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 w:rsidRPr="00BF17A5">
        <w:rPr>
          <w:rFonts w:ascii="Arial" w:eastAsia="Times New Roman" w:hAnsi="Arial" w:cs="Arial"/>
          <w:lang w:val="es-ES" w:eastAsia="es-ES"/>
        </w:rPr>
        <w:t>E</w:t>
      </w:r>
      <w:r>
        <w:rPr>
          <w:rFonts w:ascii="Arial" w:eastAsia="Times New Roman" w:hAnsi="Arial" w:cs="Arial"/>
          <w:lang w:val="es-ES" w:eastAsia="es-ES"/>
        </w:rPr>
        <w:t xml:space="preserve">l próximo </w:t>
      </w:r>
      <w:r w:rsidRPr="00BF17A5">
        <w:rPr>
          <w:rFonts w:ascii="Arial" w:eastAsia="Times New Roman" w:hAnsi="Arial" w:cs="Arial"/>
          <w:lang w:val="es-ES" w:eastAsia="es-ES"/>
        </w:rPr>
        <w:t>lunes 21 de abril reanudar</w:t>
      </w:r>
      <w:r>
        <w:rPr>
          <w:rFonts w:ascii="Arial" w:eastAsia="Times New Roman" w:hAnsi="Arial" w:cs="Arial"/>
          <w:lang w:val="es-ES" w:eastAsia="es-ES"/>
        </w:rPr>
        <w:t xml:space="preserve">án actividades alumnos, docentes, investigadores, trabajadores de apoyo y asistencia a la educación, de mando y directivos del Instituto Politécnico Nacional (IPN), </w:t>
      </w:r>
      <w:r w:rsidR="00480904">
        <w:rPr>
          <w:rFonts w:ascii="Arial" w:eastAsia="Times New Roman" w:hAnsi="Arial" w:cs="Arial"/>
          <w:lang w:val="es-ES" w:eastAsia="es-ES"/>
        </w:rPr>
        <w:t xml:space="preserve">tras </w:t>
      </w:r>
      <w:r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 xml:space="preserve">finalizar el periodo vacacional de Semana Santa. </w:t>
      </w:r>
    </w:p>
    <w:p w:rsidR="00BF17A5" w:rsidRDefault="00BF17A5" w:rsidP="00BF17A5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F17A5" w:rsidRDefault="00BF17A5" w:rsidP="00BF17A5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" w:eastAsia="es-ES"/>
        </w:rPr>
        <w:t>Actualmente el IPN cuenta con</w:t>
      </w:r>
      <w:r w:rsidR="00480904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 xml:space="preserve">176 mil 513 alumnos </w:t>
      </w:r>
      <w:r w:rsidRPr="00160406">
        <w:rPr>
          <w:rFonts w:ascii="Arial" w:eastAsia="Times New Roman" w:hAnsi="Arial" w:cs="Arial"/>
          <w:lang w:val="es-ES_tradnl" w:eastAsia="es-ES"/>
        </w:rPr>
        <w:t>de los niveles medio superior, superior y posgrad</w:t>
      </w:r>
      <w:r>
        <w:rPr>
          <w:rFonts w:ascii="Arial" w:eastAsia="Times New Roman" w:hAnsi="Arial" w:cs="Arial"/>
          <w:lang w:val="es-ES_tradnl" w:eastAsia="es-ES"/>
        </w:rPr>
        <w:t>o en sus modalidades escolarizada</w:t>
      </w:r>
      <w:r w:rsidR="003028B3">
        <w:rPr>
          <w:rFonts w:ascii="Arial" w:eastAsia="Times New Roman" w:hAnsi="Arial" w:cs="Arial"/>
          <w:lang w:val="es-ES_tradnl" w:eastAsia="es-ES"/>
        </w:rPr>
        <w:t xml:space="preserve"> y </w:t>
      </w:r>
      <w:r>
        <w:rPr>
          <w:rFonts w:ascii="Arial" w:eastAsia="Times New Roman" w:hAnsi="Arial" w:cs="Arial"/>
          <w:lang w:val="es-ES_tradnl" w:eastAsia="es-ES"/>
        </w:rPr>
        <w:t>no escolarizada</w:t>
      </w:r>
      <w:r w:rsidR="00480904">
        <w:rPr>
          <w:rFonts w:ascii="Arial" w:eastAsia="Times New Roman" w:hAnsi="Arial" w:cs="Arial"/>
          <w:lang w:val="es-ES_tradnl" w:eastAsia="es-ES"/>
        </w:rPr>
        <w:t>;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480904">
        <w:rPr>
          <w:rFonts w:ascii="Arial" w:eastAsia="Times New Roman" w:hAnsi="Arial" w:cs="Arial"/>
          <w:lang w:val="es-ES_tradnl" w:eastAsia="es-ES"/>
        </w:rPr>
        <w:t xml:space="preserve">tiene </w:t>
      </w:r>
      <w:r>
        <w:rPr>
          <w:rFonts w:ascii="Arial" w:eastAsia="Times New Roman" w:hAnsi="Arial" w:cs="Arial"/>
          <w:lang w:val="es-ES_tradnl" w:eastAsia="es-ES"/>
        </w:rPr>
        <w:t>17 mil 534 académicos</w:t>
      </w:r>
      <w:r w:rsidR="00480904">
        <w:rPr>
          <w:rFonts w:ascii="Arial" w:eastAsia="Times New Roman" w:hAnsi="Arial" w:cs="Arial"/>
          <w:lang w:val="es-ES_tradnl" w:eastAsia="es-ES"/>
        </w:rPr>
        <w:t xml:space="preserve">, </w:t>
      </w:r>
      <w:r w:rsidR="00480904" w:rsidRPr="00160406">
        <w:rPr>
          <w:rFonts w:ascii="Arial" w:eastAsia="Times New Roman" w:hAnsi="Arial" w:cs="Arial"/>
          <w:lang w:val="es-ES_tradnl" w:eastAsia="es-ES"/>
        </w:rPr>
        <w:t xml:space="preserve">incluidos </w:t>
      </w:r>
      <w:r w:rsidR="00480904">
        <w:rPr>
          <w:rFonts w:ascii="Arial" w:eastAsia="Times New Roman" w:hAnsi="Arial" w:cs="Arial"/>
          <w:lang w:val="es-ES_tradnl" w:eastAsia="es-ES"/>
        </w:rPr>
        <w:t xml:space="preserve">921 investigadores adscritos al </w:t>
      </w:r>
      <w:r w:rsidR="00480904" w:rsidRPr="00160406">
        <w:rPr>
          <w:rFonts w:ascii="Arial" w:eastAsia="Times New Roman" w:hAnsi="Arial" w:cs="Arial"/>
          <w:lang w:val="es-ES_tradnl" w:eastAsia="es-ES"/>
        </w:rPr>
        <w:t>Sistema Nacional de Investigadores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480904">
        <w:rPr>
          <w:rFonts w:ascii="Arial" w:eastAsia="Times New Roman" w:hAnsi="Arial" w:cs="Arial"/>
          <w:lang w:val="es-ES_tradnl" w:eastAsia="es-ES"/>
        </w:rPr>
        <w:t xml:space="preserve">(SNI), </w:t>
      </w:r>
      <w:r>
        <w:rPr>
          <w:rFonts w:ascii="Arial" w:eastAsia="Times New Roman" w:hAnsi="Arial" w:cs="Arial"/>
          <w:lang w:val="es-ES_tradnl" w:eastAsia="es-ES"/>
        </w:rPr>
        <w:t xml:space="preserve">y 10 mil 732 trabajadores de apoyo y asistencia a la educación, </w:t>
      </w:r>
      <w:r w:rsidR="00480904">
        <w:rPr>
          <w:rFonts w:ascii="Arial" w:eastAsia="Times New Roman" w:hAnsi="Arial" w:cs="Arial"/>
          <w:lang w:val="es-ES_tradnl" w:eastAsia="es-ES"/>
        </w:rPr>
        <w:t>de mando y directivos.</w:t>
      </w:r>
    </w:p>
    <w:p w:rsidR="00BF17A5" w:rsidRDefault="00BF17A5" w:rsidP="00BF17A5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480904" w:rsidRDefault="003028B3" w:rsidP="0048090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El Instituto s</w:t>
      </w:r>
      <w:r w:rsidR="00480904">
        <w:rPr>
          <w:rFonts w:ascii="Arial" w:eastAsia="Times New Roman" w:hAnsi="Arial" w:cs="Arial"/>
          <w:lang w:val="es-ES_tradnl" w:eastAsia="es-ES"/>
        </w:rPr>
        <w:t xml:space="preserve">e conforma por 98 unidades académicas, de apoyo y vinculadas en 32 localidades de 21 entidades federativas de la República Mexicana y el Distrito Federal, integradas por 18 Unidades Académicas del Nivel Medio Superior, 26 Unidades Académicas del Nivel Superior, 20 Centros de Investigación Científica y Tecnológica, 17 Centros de Educación Continua, cuatro Unidades de Apoyo Educativo, tres Unidades de Apoyo a la Innovación Educativa, ocho unidades de Apoyo a la Investigación, al Desarrollo y Fomento </w:t>
      </w:r>
      <w:r w:rsidR="00480904">
        <w:rPr>
          <w:rFonts w:ascii="Arial" w:eastAsia="Times New Roman" w:hAnsi="Arial" w:cs="Arial"/>
          <w:lang w:val="es-ES_tradnl" w:eastAsia="es-ES"/>
        </w:rPr>
        <w:lastRenderedPageBreak/>
        <w:t xml:space="preserve">Tecnológico y Empresarial, y dos clúster educativos </w:t>
      </w:r>
      <w:r>
        <w:rPr>
          <w:rFonts w:ascii="Arial" w:eastAsia="Times New Roman" w:hAnsi="Arial" w:cs="Arial"/>
          <w:lang w:val="es-ES_tradnl" w:eastAsia="es-ES"/>
        </w:rPr>
        <w:t>relacionados</w:t>
      </w:r>
      <w:r w:rsidR="00480904">
        <w:rPr>
          <w:rFonts w:ascii="Arial" w:eastAsia="Times New Roman" w:hAnsi="Arial" w:cs="Arial"/>
          <w:lang w:val="es-ES_tradnl" w:eastAsia="es-ES"/>
        </w:rPr>
        <w:t xml:space="preserve"> a la </w:t>
      </w:r>
      <w:r>
        <w:rPr>
          <w:rFonts w:ascii="Arial" w:eastAsia="Times New Roman" w:hAnsi="Arial" w:cs="Arial"/>
          <w:lang w:val="es-ES_tradnl" w:eastAsia="es-ES"/>
        </w:rPr>
        <w:t>c</w:t>
      </w:r>
      <w:r w:rsidR="00480904">
        <w:rPr>
          <w:rFonts w:ascii="Arial" w:eastAsia="Times New Roman" w:hAnsi="Arial" w:cs="Arial"/>
          <w:lang w:val="es-ES_tradnl" w:eastAsia="es-ES"/>
        </w:rPr>
        <w:t xml:space="preserve">iencia, </w:t>
      </w:r>
      <w:r>
        <w:rPr>
          <w:rFonts w:ascii="Arial" w:eastAsia="Times New Roman" w:hAnsi="Arial" w:cs="Arial"/>
          <w:lang w:val="es-ES_tradnl" w:eastAsia="es-ES"/>
        </w:rPr>
        <w:t>t</w:t>
      </w:r>
      <w:r w:rsidR="00480904">
        <w:rPr>
          <w:rFonts w:ascii="Arial" w:eastAsia="Times New Roman" w:hAnsi="Arial" w:cs="Arial"/>
          <w:lang w:val="es-ES_tradnl" w:eastAsia="es-ES"/>
        </w:rPr>
        <w:t xml:space="preserve">ecnología, </w:t>
      </w:r>
      <w:r>
        <w:rPr>
          <w:rFonts w:ascii="Arial" w:eastAsia="Times New Roman" w:hAnsi="Arial" w:cs="Arial"/>
          <w:lang w:val="es-ES_tradnl" w:eastAsia="es-ES"/>
        </w:rPr>
        <w:t>i</w:t>
      </w:r>
      <w:r w:rsidR="00480904">
        <w:rPr>
          <w:rFonts w:ascii="Arial" w:eastAsia="Times New Roman" w:hAnsi="Arial" w:cs="Arial"/>
          <w:lang w:val="es-ES_tradnl" w:eastAsia="es-ES"/>
        </w:rPr>
        <w:t xml:space="preserve">nvestigación y </w:t>
      </w:r>
      <w:r>
        <w:rPr>
          <w:rFonts w:ascii="Arial" w:eastAsia="Times New Roman" w:hAnsi="Arial" w:cs="Arial"/>
          <w:lang w:val="es-ES_tradnl" w:eastAsia="es-ES"/>
        </w:rPr>
        <w:t>d</w:t>
      </w:r>
      <w:r w:rsidR="00480904">
        <w:rPr>
          <w:rFonts w:ascii="Arial" w:eastAsia="Times New Roman" w:hAnsi="Arial" w:cs="Arial"/>
          <w:lang w:val="es-ES_tradnl" w:eastAsia="es-ES"/>
        </w:rPr>
        <w:t xml:space="preserve">esarrollo </w:t>
      </w:r>
      <w:r>
        <w:rPr>
          <w:rFonts w:ascii="Arial" w:eastAsia="Times New Roman" w:hAnsi="Arial" w:cs="Arial"/>
          <w:lang w:val="es-ES_tradnl" w:eastAsia="es-ES"/>
        </w:rPr>
        <w:t>e</w:t>
      </w:r>
      <w:r w:rsidR="00480904">
        <w:rPr>
          <w:rFonts w:ascii="Arial" w:eastAsia="Times New Roman" w:hAnsi="Arial" w:cs="Arial"/>
          <w:lang w:val="es-ES_tradnl" w:eastAsia="es-ES"/>
        </w:rPr>
        <w:t>mpresarial.</w:t>
      </w:r>
    </w:p>
    <w:p w:rsidR="00480904" w:rsidRDefault="00480904" w:rsidP="0048090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480904" w:rsidRDefault="00480904" w:rsidP="00480904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La oferta educativa del IPN asciende a 249 programas académicos para las modalidades escolarizada, no escolarizada y mixta en los niveles medio superior y superior, así como 135 programas de posgrado que se ofrecen a través de los 20 centros de investigación y las Secciones de Estudios de Posgrado e Investigación ubicadas en las unidades académicas, donde se integran </w:t>
      </w:r>
      <w:r>
        <w:rPr>
          <w:rFonts w:ascii="Arial" w:eastAsia="Calibri" w:hAnsi="Arial" w:cs="Arial"/>
          <w:lang w:val="es-ES_tradnl"/>
        </w:rPr>
        <w:t xml:space="preserve">diversos proyectos de investigación básica, aplicada y tecnológica en áreas estratégicas para el desarrollo nacional como salud, alimentación, vivienda, telecomunicaciones, cómputo, medio ambiente e infraestructura carretera, aeroportuaria y marítima, entre otras. </w:t>
      </w:r>
    </w:p>
    <w:p w:rsidR="00480904" w:rsidRDefault="00480904" w:rsidP="00480904">
      <w:pPr>
        <w:spacing w:after="0" w:line="360" w:lineRule="auto"/>
        <w:jc w:val="both"/>
        <w:rPr>
          <w:rFonts w:ascii="Arial" w:eastAsia="Calibri" w:hAnsi="Arial" w:cs="Arial"/>
          <w:lang w:val="es-ES_tradnl"/>
        </w:rPr>
      </w:pPr>
    </w:p>
    <w:p w:rsidR="00480904" w:rsidRDefault="00480904" w:rsidP="00480904">
      <w:pPr>
        <w:spacing w:after="0" w:line="360" w:lineRule="auto"/>
        <w:ind w:firstLine="708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El IPN realiza más de 40 mil acciones formativas para personas en diferentes estados del país y en zonas de mediana y alta marginación, </w:t>
      </w:r>
      <w:r>
        <w:rPr>
          <w:rFonts w:ascii="Arial" w:eastAsia="Times New Roman" w:hAnsi="Arial" w:cs="Arial"/>
          <w:lang w:val="es-ES_tradnl" w:eastAsia="es-ES"/>
        </w:rPr>
        <w:t xml:space="preserve">en todos </w:t>
      </w:r>
      <w:r>
        <w:rPr>
          <w:rFonts w:ascii="Arial" w:eastAsia="Calibri" w:hAnsi="Arial" w:cs="Arial"/>
          <w:lang w:val="es-ES_tradnl"/>
        </w:rPr>
        <w:t xml:space="preserve">los tipos y modalidades de servicios educativos. Además ofrece sus servicios para el aprendizaje de lenguas extranjeras a más de 76 mil usuarios a través de dos Centros de Lenguas Extranjeras en el Distrito Federal y 43 cursos extracurriculares que se imparten en 12 unidades académicas del Nivel Medio Superior, 18 del Nivel Superior y 12 Centros de Educación Continua. </w:t>
      </w:r>
    </w:p>
    <w:p w:rsidR="00480904" w:rsidRDefault="00480904" w:rsidP="00480904">
      <w:pPr>
        <w:spacing w:after="0" w:line="360" w:lineRule="auto"/>
        <w:jc w:val="both"/>
        <w:rPr>
          <w:rFonts w:ascii="Arial" w:eastAsia="Calibri" w:hAnsi="Arial" w:cs="Arial"/>
          <w:lang w:val="es-ES_tradnl"/>
        </w:rPr>
      </w:pPr>
    </w:p>
    <w:p w:rsidR="00480904" w:rsidRDefault="00480904" w:rsidP="0048090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En el presente ciclo escolar, 214 programas académicos han sido reconocidos por organismos acreditadores externos y más del 96 por ciento de la matrícula inscrita cursa programas académicos reconocidos por su calidad. Los alumnos beneficiados por becas otorgadas ascienden a 84 mil 150, lo que representa el 47 por ciento de la matrícula total.  </w:t>
      </w:r>
    </w:p>
    <w:p w:rsidR="00480904" w:rsidRDefault="00480904" w:rsidP="0048090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F17A5" w:rsidRPr="00FF5646" w:rsidRDefault="00480904" w:rsidP="0048090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Asimismo, el IPN ha conformado nueve redes de investigación y posgrado que atienden temáticas de biotecnología, nanociencias y micronanotecnología, medio ambiente, energía, robótica y mecatrónica, computación, telecomunicaciones, salud y desarrollo económico.</w:t>
      </w:r>
    </w:p>
    <w:p w:rsidR="003028B3" w:rsidRDefault="003028B3" w:rsidP="00BF17A5">
      <w:pPr>
        <w:spacing w:line="360" w:lineRule="auto"/>
        <w:ind w:firstLine="720"/>
        <w:jc w:val="center"/>
        <w:rPr>
          <w:rFonts w:ascii="Arial" w:eastAsia="Calibri" w:hAnsi="Arial" w:cs="Arial"/>
          <w:b/>
          <w:lang w:val="es-ES"/>
        </w:rPr>
      </w:pPr>
    </w:p>
    <w:p w:rsidR="00BF17A5" w:rsidRPr="00BF17A5" w:rsidRDefault="00BF17A5" w:rsidP="00BF17A5">
      <w:pPr>
        <w:spacing w:line="360" w:lineRule="auto"/>
        <w:ind w:firstLine="720"/>
        <w:jc w:val="center"/>
        <w:rPr>
          <w:rFonts w:ascii="Arial" w:eastAsia="Calibri" w:hAnsi="Arial" w:cs="Arial"/>
          <w:b/>
          <w:lang w:val="es-ES"/>
        </w:rPr>
      </w:pPr>
      <w:bookmarkStart w:id="0" w:name="_GoBack"/>
      <w:bookmarkEnd w:id="0"/>
      <w:r w:rsidRPr="00BF17A5">
        <w:rPr>
          <w:rFonts w:ascii="Arial" w:eastAsia="Calibri" w:hAnsi="Arial" w:cs="Arial"/>
          <w:b/>
          <w:lang w:val="es-ES"/>
        </w:rPr>
        <w:t>===000===</w:t>
      </w:r>
    </w:p>
    <w:sectPr w:rsidR="00BF17A5" w:rsidRPr="00BF17A5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E1" w:rsidRDefault="00BD72E1">
      <w:r>
        <w:separator/>
      </w:r>
    </w:p>
  </w:endnote>
  <w:endnote w:type="continuationSeparator" w:id="0">
    <w:p w:rsidR="00BD72E1" w:rsidRDefault="00B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E1" w:rsidRDefault="00BD72E1">
      <w:r>
        <w:separator/>
      </w:r>
    </w:p>
  </w:footnote>
  <w:footnote w:type="continuationSeparator" w:id="0">
    <w:p w:rsidR="00BD72E1" w:rsidRDefault="00BD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3028B3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35F5095" wp14:editId="4AA31B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E62E041" wp14:editId="624206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67B6ED9"/>
    <w:multiLevelType w:val="hybridMultilevel"/>
    <w:tmpl w:val="A33221E2"/>
    <w:lvl w:ilvl="0" w:tplc="0C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5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F5C37"/>
    <w:multiLevelType w:val="hybridMultilevel"/>
    <w:tmpl w:val="E676C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232F9"/>
    <w:multiLevelType w:val="hybridMultilevel"/>
    <w:tmpl w:val="72F0D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5"/>
  </w:num>
  <w:num w:numId="5">
    <w:abstractNumId w:val="19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16"/>
  </w:num>
  <w:num w:numId="11">
    <w:abstractNumId w:val="26"/>
  </w:num>
  <w:num w:numId="12">
    <w:abstractNumId w:val="4"/>
  </w:num>
  <w:num w:numId="13">
    <w:abstractNumId w:val="28"/>
  </w:num>
  <w:num w:numId="14">
    <w:abstractNumId w:val="7"/>
  </w:num>
  <w:num w:numId="15">
    <w:abstractNumId w:val="4"/>
  </w:num>
  <w:num w:numId="16">
    <w:abstractNumId w:val="11"/>
  </w:num>
  <w:num w:numId="17">
    <w:abstractNumId w:val="27"/>
  </w:num>
  <w:num w:numId="18">
    <w:abstractNumId w:val="4"/>
  </w:num>
  <w:num w:numId="19">
    <w:abstractNumId w:val="6"/>
  </w:num>
  <w:num w:numId="20">
    <w:abstractNumId w:val="24"/>
  </w:num>
  <w:num w:numId="21">
    <w:abstractNumId w:val="8"/>
  </w:num>
  <w:num w:numId="22">
    <w:abstractNumId w:val="4"/>
  </w:num>
  <w:num w:numId="23">
    <w:abstractNumId w:val="17"/>
  </w:num>
  <w:num w:numId="24">
    <w:abstractNumId w:val="3"/>
  </w:num>
  <w:num w:numId="25">
    <w:abstractNumId w:val="1"/>
  </w:num>
  <w:num w:numId="26">
    <w:abstractNumId w:val="13"/>
  </w:num>
  <w:num w:numId="27">
    <w:abstractNumId w:val="4"/>
  </w:num>
  <w:num w:numId="28">
    <w:abstractNumId w:val="4"/>
  </w:num>
  <w:num w:numId="29">
    <w:abstractNumId w:val="4"/>
  </w:num>
  <w:num w:numId="30">
    <w:abstractNumId w:val="21"/>
  </w:num>
  <w:num w:numId="31">
    <w:abstractNumId w:val="9"/>
  </w:num>
  <w:num w:numId="32">
    <w:abstractNumId w:val="15"/>
  </w:num>
  <w:num w:numId="33">
    <w:abstractNumId w:val="12"/>
  </w:num>
  <w:num w:numId="34">
    <w:abstractNumId w:val="20"/>
  </w:num>
  <w:num w:numId="35">
    <w:abstractNumId w:val="2"/>
  </w:num>
  <w:num w:numId="36">
    <w:abstractNumId w:val="4"/>
  </w:num>
  <w:num w:numId="37">
    <w:abstractNumId w:val="22"/>
  </w:num>
  <w:num w:numId="38">
    <w:abstractNumId w:val="2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483F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6F2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2C52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4EF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3E9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28B3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090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29E5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8DA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5CEB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50D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643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3A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7A5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247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5E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3602D42-A982-4A4B-858B-AE6539F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4</cp:revision>
  <cp:lastPrinted>2014-04-14T16:43:00Z</cp:lastPrinted>
  <dcterms:created xsi:type="dcterms:W3CDTF">2014-04-14T03:38:00Z</dcterms:created>
  <dcterms:modified xsi:type="dcterms:W3CDTF">2014-04-14T19:36:00Z</dcterms:modified>
</cp:coreProperties>
</file>